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4F30D" w14:textId="77777777" w:rsidR="00F41BF3" w:rsidRPr="00F41BF3" w:rsidRDefault="00F41BF3" w:rsidP="00F41BF3">
      <w:pPr>
        <w:spacing w:line="240" w:lineRule="auto"/>
        <w:jc w:val="both"/>
        <w:rPr>
          <w:rFonts w:ascii="Verdana" w:eastAsia="Calibri" w:hAnsi="Verdana" w:cs="Arial"/>
          <w:b/>
          <w:bCs/>
          <w:color w:val="000000" w:themeColor="text1"/>
          <w:lang w:eastAsia="es-ES"/>
        </w:rPr>
      </w:pPr>
      <w:r w:rsidRPr="00F41BF3">
        <w:rPr>
          <w:rFonts w:ascii="Verdana" w:eastAsia="Calibri" w:hAnsi="Verdana" w:cs="Arial"/>
          <w:b/>
          <w:bCs/>
          <w:color w:val="000000" w:themeColor="text1"/>
          <w:lang w:eastAsia="es-ES"/>
        </w:rPr>
        <w:t>SUBSANABILIDAD DE LAS OFERTAS – Requerimiento – Especificidad – Alcance – Ley 1882 de 2018</w:t>
      </w:r>
    </w:p>
    <w:p w14:paraId="5954AA17" w14:textId="77777777" w:rsidR="00F41BF3" w:rsidRPr="00F41BF3" w:rsidRDefault="00F41BF3" w:rsidP="00F41BF3">
      <w:pPr>
        <w:spacing w:before="120" w:after="120" w:line="240" w:lineRule="auto"/>
        <w:jc w:val="both"/>
        <w:rPr>
          <w:rFonts w:ascii="Verdana" w:eastAsia="Times New Roman" w:hAnsi="Verdana" w:cs="Arial"/>
          <w:color w:val="000000" w:themeColor="text1"/>
          <w:sz w:val="20"/>
          <w:szCs w:val="20"/>
          <w:lang w:val="es-ES"/>
        </w:rPr>
      </w:pPr>
      <w:r w:rsidRPr="00F41BF3">
        <w:rPr>
          <w:rFonts w:ascii="Verdana" w:hAnsi="Verdana" w:cs="Arial"/>
          <w:bCs/>
          <w:color w:val="000000" w:themeColor="text1"/>
          <w:sz w:val="20"/>
          <w:szCs w:val="20"/>
          <w:lang w:val="es-ES"/>
        </w:rPr>
        <w:t>De conformidad con la redacción literal del parágrafo 1 del artículo 5 de la Ley 1150 de 2007, modificado por el artículo 5 de la Ley 1882 de 2018, los requisitos de la oferta que no afecten la asignación de puntaje “deberán ser solicitados por las entidades estatales”. La subsanación es, entonces, un deber de la Entidad y no una facultad discrecional. En consecuencia, la entidad no puede rechazar una oferta por la ausencia o deficiencia de un requisito habilitante sin haber requerido previamente al proponente para que lo subsane.</w:t>
      </w:r>
    </w:p>
    <w:p w14:paraId="0A402193" w14:textId="585CEDA7" w:rsidR="00F41BF3" w:rsidRPr="00F41BF3" w:rsidRDefault="00F41BF3" w:rsidP="00F41BF3">
      <w:pPr>
        <w:spacing w:before="120" w:after="120" w:line="240" w:lineRule="auto"/>
        <w:jc w:val="both"/>
        <w:rPr>
          <w:rFonts w:ascii="Verdana" w:hAnsi="Verdana" w:cs="Arial"/>
          <w:bCs/>
          <w:color w:val="000000" w:themeColor="text1"/>
          <w:sz w:val="20"/>
          <w:szCs w:val="20"/>
          <w:lang w:val="es-ES"/>
        </w:rPr>
      </w:pPr>
      <w:r w:rsidRPr="00F41BF3">
        <w:rPr>
          <w:rFonts w:ascii="Verdana" w:hAnsi="Verdana" w:cs="Arial"/>
          <w:bCs/>
          <w:color w:val="000000" w:themeColor="text1"/>
          <w:sz w:val="20"/>
          <w:szCs w:val="20"/>
          <w:lang w:val="es-ES"/>
        </w:rPr>
        <w:t>Como el rechazo solo procede cuando el proponente no entrega “la información y la documentación solicitada por la entidad estatal”, el requerimiento debe ser claro, expreso y concreto: debe identificar el requisito, la deficiencia advertida, el documento o la información que se echa de menos y el término para aportarla. El proponente debe atender lo que se le pide y, abierta la etapa de subsanación con el requerimiento, puede corregir dentro del término legal otros aspectos de su oferta que no otorguen puntaje, sin que ello releve a la Entidad de requerir de forma específica cada deficiencia antes de rechazar. Sin embargo, la carga de identificar las deficiencias recae en la Entidad, que no puede fundar el rechazo en aspectos no incluidos en el requerimiento o respecto de los cuales no otorgó la oportunidad de subsanar. Si con posterioridad advierte una deficiencia nueva, debe requerirla de manera específica, otorgando un plazo razonable para atenderla.</w:t>
      </w:r>
    </w:p>
    <w:p w14:paraId="7DC7F28E" w14:textId="0015F5B1" w:rsidR="00F41BF3" w:rsidRPr="00F41BF3" w:rsidRDefault="00F41BF3" w:rsidP="00F41BF3">
      <w:pPr>
        <w:spacing w:line="240" w:lineRule="auto"/>
        <w:jc w:val="both"/>
        <w:rPr>
          <w:rFonts w:ascii="Verdana" w:eastAsia="Calibri" w:hAnsi="Verdana" w:cs="Arial"/>
          <w:b/>
          <w:bCs/>
          <w:color w:val="000000" w:themeColor="text1"/>
          <w:lang w:eastAsia="es-ES"/>
        </w:rPr>
      </w:pPr>
      <w:r w:rsidRPr="00F41BF3">
        <w:rPr>
          <w:rFonts w:ascii="Verdana" w:eastAsia="Calibri" w:hAnsi="Verdana" w:cs="Arial"/>
          <w:b/>
          <w:bCs/>
          <w:color w:val="000000" w:themeColor="text1"/>
          <w:lang w:eastAsia="es-ES"/>
        </w:rPr>
        <w:t>I</w:t>
      </w:r>
      <w:r w:rsidRPr="00F41BF3">
        <w:rPr>
          <w:rFonts w:ascii="Verdana" w:eastAsia="Calibri" w:hAnsi="Verdana" w:cs="Arial"/>
          <w:b/>
          <w:bCs/>
          <w:color w:val="000000" w:themeColor="text1"/>
          <w:lang w:eastAsia="es-ES"/>
        </w:rPr>
        <w:t xml:space="preserve">NFORME DE EVALUACIÓN – Traslado – Observaciones – Modificación </w:t>
      </w:r>
    </w:p>
    <w:p w14:paraId="26FB5E3B" w14:textId="77777777" w:rsidR="00F41BF3" w:rsidRPr="00F41BF3" w:rsidRDefault="00F41BF3" w:rsidP="00F41BF3">
      <w:pPr>
        <w:spacing w:before="120" w:after="120" w:line="240" w:lineRule="auto"/>
        <w:jc w:val="both"/>
        <w:rPr>
          <w:rFonts w:ascii="Verdana" w:eastAsia="Times New Roman" w:hAnsi="Verdana" w:cs="Arial"/>
          <w:color w:val="000000" w:themeColor="text1"/>
          <w:sz w:val="20"/>
          <w:szCs w:val="20"/>
          <w:lang w:val="es-ES"/>
        </w:rPr>
      </w:pPr>
      <w:r w:rsidRPr="00F41BF3">
        <w:rPr>
          <w:rFonts w:ascii="Verdana" w:hAnsi="Verdana" w:cs="Arial"/>
          <w:bCs/>
          <w:color w:val="000000" w:themeColor="text1"/>
          <w:sz w:val="20"/>
          <w:szCs w:val="20"/>
          <w:lang w:val="es-ES"/>
        </w:rPr>
        <w:t xml:space="preserve">El traslado de las observaciones que un oferente formula sobre la oferta de otro materializa los principios de publicidad y contradicción, pero no equivale, por sí mismo, al requerimiento de subsanación que debe cumplir la entidad. Esto se debe a que las observaciones son manifestaciones de un tercero interesado, mientras que el requerimiento es una actuación que la Entidad realiza en cumplimiento de un deber legal, en la que esta, previo análisis, determina que existe una deficiencia y solicita corregirla. En consecuencia, solo cuando la Entidad señala que acoge la observación, identifica expresamente la deficiencia y solicita al proponente subsanarla dentro de un término determinado, podría entenderse surtido el requerimiento; el solo traslado de la observación sin indicar su postura o requerir la subsanación no será suficiente para entender cumplido el deber que la ley le atribuye. </w:t>
      </w:r>
    </w:p>
    <w:p w14:paraId="5AE89079" w14:textId="78F66D25" w:rsidR="00F41BF3" w:rsidRPr="00F41BF3" w:rsidRDefault="00F41BF3" w:rsidP="00F41BF3">
      <w:pPr>
        <w:spacing w:before="120" w:after="120" w:line="240" w:lineRule="auto"/>
        <w:jc w:val="both"/>
        <w:rPr>
          <w:rFonts w:ascii="Verdana" w:hAnsi="Verdana" w:cs="Arial"/>
          <w:bCs/>
          <w:color w:val="000000" w:themeColor="text1"/>
          <w:sz w:val="20"/>
          <w:szCs w:val="20"/>
          <w:lang w:val="es-ES"/>
        </w:rPr>
      </w:pPr>
      <w:r w:rsidRPr="00F41BF3">
        <w:rPr>
          <w:rFonts w:ascii="Verdana" w:hAnsi="Verdana" w:cs="Arial"/>
          <w:bCs/>
          <w:color w:val="000000" w:themeColor="text1"/>
          <w:sz w:val="20"/>
          <w:szCs w:val="20"/>
          <w:lang w:val="es-ES"/>
        </w:rPr>
        <w:t>Por su parte, la Entidad debe corregir el informe de evaluación cuando las observaciones evidencian un error, porque debe ajustarse a las reglas del pliego de condiciones. Sin embargo, si la modificación consiste en advertir la ausencia o deficiencia de un requisito habilitante que no fue requerido, la Entidad debe, antes de rechazar la oferta, requerir al proponente para que subsane. Al respecto, el Manual para determinar y verificar los requisitos habilitantes de esta Agencia señala que en tal evento la Entidad “podrá requerir al proponente para que lo haga otorgando un plazo igual al término del traslado”.</w:t>
      </w:r>
    </w:p>
    <w:p w14:paraId="3D8ACACD" w14:textId="77777777" w:rsidR="00F41BF3" w:rsidRPr="00F41BF3" w:rsidRDefault="00F41BF3" w:rsidP="00F41BF3">
      <w:pPr>
        <w:spacing w:line="240" w:lineRule="auto"/>
        <w:jc w:val="both"/>
        <w:rPr>
          <w:rFonts w:ascii="Verdana" w:eastAsia="Calibri" w:hAnsi="Verdana" w:cs="Arial"/>
          <w:b/>
          <w:bCs/>
          <w:color w:val="000000" w:themeColor="text1"/>
          <w:lang w:eastAsia="es-ES"/>
        </w:rPr>
      </w:pPr>
      <w:r w:rsidRPr="00F41BF3">
        <w:rPr>
          <w:rFonts w:ascii="Verdana" w:eastAsia="Calibri" w:hAnsi="Verdana" w:cs="Arial"/>
          <w:b/>
          <w:bCs/>
          <w:color w:val="000000" w:themeColor="text1"/>
          <w:lang w:eastAsia="es-ES"/>
        </w:rPr>
        <w:lastRenderedPageBreak/>
        <w:t>CAPACIDAD JURÍDICA – Personas jurídicas – Representante legal – Autorización del órgano social – Valor probatorio</w:t>
      </w:r>
    </w:p>
    <w:p w14:paraId="529FE45F" w14:textId="77777777" w:rsidR="00F41BF3" w:rsidRPr="00F41BF3" w:rsidRDefault="00F41BF3" w:rsidP="00F41BF3">
      <w:pPr>
        <w:spacing w:before="120" w:after="120" w:line="240" w:lineRule="auto"/>
        <w:jc w:val="both"/>
        <w:rPr>
          <w:rFonts w:ascii="Verdana" w:eastAsia="Times New Roman" w:hAnsi="Verdana" w:cs="Arial"/>
          <w:color w:val="000000" w:themeColor="text1"/>
          <w:sz w:val="20"/>
          <w:szCs w:val="20"/>
          <w:lang w:val="es-ES"/>
        </w:rPr>
      </w:pPr>
      <w:r w:rsidRPr="00F41BF3">
        <w:rPr>
          <w:rFonts w:ascii="Verdana" w:hAnsi="Verdana" w:cs="Arial"/>
          <w:bCs/>
          <w:color w:val="000000" w:themeColor="text1"/>
          <w:sz w:val="20"/>
          <w:szCs w:val="20"/>
          <w:lang w:val="es-ES"/>
        </w:rPr>
        <w:t>Cuando el representante legal tiene limitaciones para presentar ofertas o suscribir contratos, la capacidad se acredita con el certificado de existencia y representación legal, que da cuenta de las facultades y limitaciones inscritas, y con el acta del órgano social competente en la que conste la autorización. La Entidad debe verificar, con base en esos documentos y en lo previsto en el pliego de condiciones, que: a) el órgano que autoriza es el competente; b) la autorización comprende la presentación de la oferta o la celebración del contrato de que se trate, incluida su cuantía; c) la decisión es anterior al cierre del proceso; y d) el acta está suscrita por quienes corresponde. Los estatutos solo resultan necesarios cuando las limitaciones o el órgano competente no consten en el certificado. Lo anterior supone que la Entidad no puede exigir documentos no previstos en la ley ni en el pliego, para verificar la autorización, como es el caso de los soportes de convocatoria, quórum o votación; la ausencia de estos documentos adicionales que no tienen fundamento legal ni fueron incluidos en los documentos del proceso no constituye causal de rechazo.</w:t>
      </w:r>
    </w:p>
    <w:p w14:paraId="7EC58CF5" w14:textId="7BBD91C7" w:rsidR="00F41BF3" w:rsidRPr="00F41BF3" w:rsidRDefault="00F41BF3" w:rsidP="00F41BF3">
      <w:pPr>
        <w:spacing w:before="120" w:after="120" w:line="240" w:lineRule="auto"/>
        <w:jc w:val="both"/>
        <w:rPr>
          <w:rFonts w:ascii="Verdana" w:hAnsi="Verdana" w:cs="Arial"/>
          <w:bCs/>
          <w:color w:val="000000" w:themeColor="text1"/>
          <w:sz w:val="20"/>
          <w:szCs w:val="20"/>
          <w:lang w:val="es-ES"/>
        </w:rPr>
      </w:pPr>
      <w:r w:rsidRPr="00F41BF3">
        <w:rPr>
          <w:rFonts w:ascii="Verdana" w:hAnsi="Verdana" w:cs="Arial"/>
          <w:bCs/>
          <w:color w:val="000000" w:themeColor="text1"/>
          <w:sz w:val="20"/>
          <w:szCs w:val="20"/>
          <w:lang w:val="es-ES"/>
        </w:rPr>
        <w:t xml:space="preserve">De acuerdo con el artículo 189 del Código de Comercio, la copia del acta autorizada por el secretario o por un representante de la persona jurídica es “prueba suficiente de los hechos que consten en ellas, mientras no se demuestre la falsedad de la copia o de las actas”. Esta regla, junto con la presunción de autenticidad del artículo 244 del Código General del Proceso y el principio de buena fe del artículo 83 de la Constitución, implica que la constancia de la verificación del quórum contenida en un acta firmada es prueba suficiente de ese hecho, mientras su falsedad no sea demostrada. En este sentido, la Entidad no tiene competencia para declarar la nulidad o inexistencia de las decisiones de los órganos sociales, pues esa competencia corresponde a los jueces y, en los casos previstos en la ley, a la Superintendencia de Sociedades. Si advierte una posible falsedad, debe ponerla en conocimiento de las autoridades competentes, sin perjuicio de las reglas que establezca en el pliego de condiciones para el manejo de información inexacta. </w:t>
      </w:r>
    </w:p>
    <w:p w14:paraId="318D2BCB" w14:textId="1D2C0A10" w:rsidR="00F41BF3" w:rsidRPr="00F41BF3" w:rsidRDefault="00F41BF3" w:rsidP="00F41BF3">
      <w:pPr>
        <w:spacing w:line="240" w:lineRule="auto"/>
        <w:jc w:val="both"/>
        <w:rPr>
          <w:rFonts w:ascii="Verdana" w:eastAsia="Calibri" w:hAnsi="Verdana" w:cs="Arial"/>
          <w:b/>
          <w:bCs/>
          <w:color w:val="000000" w:themeColor="text1"/>
          <w:lang w:eastAsia="es-ES"/>
        </w:rPr>
      </w:pPr>
      <w:r w:rsidRPr="00F41BF3">
        <w:rPr>
          <w:rFonts w:ascii="Verdana" w:eastAsia="Calibri" w:hAnsi="Verdana" w:cs="Arial"/>
          <w:b/>
          <w:bCs/>
          <w:color w:val="000000" w:themeColor="text1"/>
          <w:lang w:eastAsia="es-ES"/>
        </w:rPr>
        <w:t>DECLARATORIA DE DESIERTA – Procedencia – Selección objetiva</w:t>
      </w:r>
    </w:p>
    <w:p w14:paraId="6DEA6FA7" w14:textId="77777777" w:rsidR="00F41BF3" w:rsidRPr="00F41BF3" w:rsidRDefault="00F41BF3" w:rsidP="00F41BF3">
      <w:pPr>
        <w:spacing w:before="120" w:after="120" w:line="240" w:lineRule="auto"/>
        <w:jc w:val="both"/>
        <w:rPr>
          <w:rFonts w:ascii="Verdana" w:hAnsi="Verdana" w:cs="Arial"/>
          <w:bCs/>
          <w:color w:val="000000" w:themeColor="text1"/>
          <w:sz w:val="20"/>
          <w:szCs w:val="20"/>
          <w:lang w:val="es-ES"/>
        </w:rPr>
      </w:pPr>
      <w:r w:rsidRPr="00F41BF3">
        <w:rPr>
          <w:rFonts w:ascii="Verdana" w:hAnsi="Verdana" w:cs="Arial"/>
          <w:bCs/>
          <w:color w:val="000000" w:themeColor="text1"/>
          <w:sz w:val="20"/>
          <w:szCs w:val="20"/>
          <w:lang w:val="es-ES"/>
        </w:rPr>
        <w:t xml:space="preserve">Según el numeral 18 del artículo 25 de la Ley 80 de 1993, la declaratoria de desierta “únicamente procederá por motivos o causas que impidan la escogencia objetiva” y debe adoptarse mediante acto administrativo que exprese, en forma detallada, las razones de la decisión. </w:t>
      </w:r>
      <w:r w:rsidRPr="00F41BF3">
        <w:rPr>
          <w:rFonts w:ascii="Verdana" w:hAnsi="Verdana" w:cs="Arial"/>
          <w:sz w:val="20"/>
          <w:szCs w:val="20"/>
        </w:rPr>
        <w:t>Esta Agencia ha señalado que esta norma, a falta de regulación especial, también se aplica a procesos distintos de la licitación, como la mínima cuantía, y que el acto que declara desierto el proceso debe señalar los hechos que dan lugar a la decisión y mostrar de qué modo esos hechos impiden la selección objetiva del contratista, como ocurre cuando no se presentan ofertas o ninguna cumple los requisitos del pliego de condiciones.</w:t>
      </w:r>
    </w:p>
    <w:p w14:paraId="55CA3DD9" w14:textId="2AA81C3A" w:rsidR="00F41BF3" w:rsidRPr="00F41BF3" w:rsidRDefault="00F41BF3" w:rsidP="00F41BF3">
      <w:pPr>
        <w:spacing w:after="120" w:line="240" w:lineRule="auto"/>
        <w:jc w:val="both"/>
        <w:rPr>
          <w:rFonts w:ascii="Verdana" w:hAnsi="Verdana" w:cs="Arial"/>
          <w:sz w:val="20"/>
          <w:szCs w:val="20"/>
        </w:rPr>
      </w:pPr>
      <w:r w:rsidRPr="00F41BF3">
        <w:rPr>
          <w:rFonts w:ascii="Verdana" w:hAnsi="Verdana" w:cs="Arial"/>
          <w:sz w:val="20"/>
          <w:szCs w:val="20"/>
        </w:rPr>
        <w:t xml:space="preserve">La jurisprudencia del Consejo de Estado ha precisado que la facultad de adjudicar o no un contrato estatal es reglada, por lo que “no cualquier hecho puede conducir a la declaratoria de desierta de un proceso de selección”, sino que es necesario que impida la selección objetiva de la propuesta dentro del marco dispuesto por el ordenamiento </w:t>
      </w:r>
      <w:r w:rsidRPr="00F41BF3">
        <w:rPr>
          <w:rFonts w:ascii="Verdana" w:hAnsi="Verdana" w:cs="Arial"/>
          <w:sz w:val="20"/>
          <w:szCs w:val="20"/>
        </w:rPr>
        <w:lastRenderedPageBreak/>
        <w:t>jurídico. Asimismo, ha indicado que la declaratoria debe estar suficientemente motivada, fundarse únicamente en motivos o causas que impidan la escogencia objetiva, y que la Entidad no está facultada para declarar desierta una selección contractual con el objeto de salvar o enmendar un error cometido por ella</w:t>
      </w:r>
      <w:r w:rsidRPr="00F41BF3">
        <w:rPr>
          <w:sz w:val="20"/>
          <w:szCs w:val="20"/>
        </w:rPr>
        <w:t xml:space="preserve"> </w:t>
      </w:r>
      <w:r w:rsidRPr="00F41BF3">
        <w:rPr>
          <w:rFonts w:ascii="Verdana" w:hAnsi="Verdana" w:cs="Arial"/>
          <w:sz w:val="20"/>
          <w:szCs w:val="20"/>
        </w:rPr>
        <w:t>en la planeación del procedimiento de selección del contratista. Más recientemente, reiteró que “no se podrá declarar frustrado el proceso de selección por errores propios de la Administración”, de manera que la declaratoria solo procede cuando motivos o causas externos, y no imputables a la Administración, impiden la selección objetiva.</w:t>
      </w:r>
    </w:p>
    <w:p w14:paraId="21AC66A4" w14:textId="597E04D0" w:rsidR="00F41BF3" w:rsidRPr="00F41BF3" w:rsidRDefault="00F41BF3" w:rsidP="00F41BF3">
      <w:pPr>
        <w:spacing w:after="120" w:line="240" w:lineRule="auto"/>
        <w:jc w:val="both"/>
        <w:rPr>
          <w:rFonts w:ascii="Verdana" w:hAnsi="Verdana" w:cs="Arial"/>
          <w:bCs/>
          <w:color w:val="000000" w:themeColor="text1"/>
          <w:sz w:val="20"/>
          <w:szCs w:val="20"/>
          <w:lang w:val="es-ES"/>
        </w:rPr>
      </w:pPr>
      <w:r w:rsidRPr="00F41BF3">
        <w:rPr>
          <w:rFonts w:ascii="Verdana" w:hAnsi="Verdana" w:cs="Arial"/>
          <w:bCs/>
          <w:color w:val="000000" w:themeColor="text1"/>
          <w:sz w:val="20"/>
          <w:szCs w:val="20"/>
          <w:lang w:val="es-ES"/>
        </w:rPr>
        <w:t>De este modo, si existe una oferta que cumple los requisitos del pliego, la Entidad debe adjudicar, incluso cuando sea la única, conforme al artículo 2.2.1.1.2.2.6 del Decreto 1082 de 2015. Una causa formal o documental subsanable, que no fue requerida, o un error de la propia Administración no son motivos que impidan la selección objetiva y, en consecuencia, no justifican, por sí mismos, la declaratoria de desierta.</w:t>
      </w:r>
    </w:p>
    <w:p w14:paraId="479EC8E1" w14:textId="77777777" w:rsidR="00F41BF3" w:rsidRDefault="00F41BF3" w:rsidP="00FE7B6C">
      <w:pPr>
        <w:widowControl w:val="0"/>
        <w:spacing w:after="0" w:line="276" w:lineRule="auto"/>
        <w:jc w:val="both"/>
        <w:rPr>
          <w:rFonts w:ascii="Verdana" w:hAnsi="Verdana"/>
          <w:lang w:val="es-ES"/>
        </w:rPr>
      </w:pPr>
    </w:p>
    <w:p w14:paraId="65005AD7" w14:textId="77777777" w:rsidR="00F41BF3" w:rsidRDefault="00F41BF3" w:rsidP="00FE7B6C">
      <w:pPr>
        <w:widowControl w:val="0"/>
        <w:spacing w:after="0" w:line="276" w:lineRule="auto"/>
        <w:jc w:val="both"/>
        <w:rPr>
          <w:rFonts w:ascii="Verdana" w:hAnsi="Verdana"/>
          <w:lang w:val="es-ES"/>
        </w:rPr>
      </w:pPr>
    </w:p>
    <w:p w14:paraId="652FFA26" w14:textId="77777777" w:rsidR="00F41BF3" w:rsidRDefault="00F41BF3" w:rsidP="00FE7B6C">
      <w:pPr>
        <w:widowControl w:val="0"/>
        <w:spacing w:after="0" w:line="276" w:lineRule="auto"/>
        <w:jc w:val="both"/>
        <w:rPr>
          <w:rFonts w:ascii="Verdana" w:hAnsi="Verdana"/>
          <w:lang w:val="es-ES"/>
        </w:rPr>
      </w:pPr>
    </w:p>
    <w:p w14:paraId="164B4E69" w14:textId="77777777" w:rsidR="00F41BF3" w:rsidRDefault="00F41BF3" w:rsidP="00FE7B6C">
      <w:pPr>
        <w:widowControl w:val="0"/>
        <w:spacing w:after="0" w:line="276" w:lineRule="auto"/>
        <w:jc w:val="both"/>
        <w:rPr>
          <w:rFonts w:ascii="Verdana" w:hAnsi="Verdana"/>
          <w:lang w:val="es-ES"/>
        </w:rPr>
      </w:pPr>
    </w:p>
    <w:p w14:paraId="77B7C14B" w14:textId="77777777" w:rsidR="00F41BF3" w:rsidRDefault="00F41BF3" w:rsidP="00FE7B6C">
      <w:pPr>
        <w:widowControl w:val="0"/>
        <w:spacing w:after="0" w:line="276" w:lineRule="auto"/>
        <w:jc w:val="both"/>
        <w:rPr>
          <w:rFonts w:ascii="Verdana" w:hAnsi="Verdana"/>
          <w:lang w:val="es-ES"/>
        </w:rPr>
      </w:pPr>
    </w:p>
    <w:p w14:paraId="33CEFEC0" w14:textId="77777777" w:rsidR="00F41BF3" w:rsidRDefault="00F41BF3" w:rsidP="00FE7B6C">
      <w:pPr>
        <w:widowControl w:val="0"/>
        <w:spacing w:after="0" w:line="276" w:lineRule="auto"/>
        <w:jc w:val="both"/>
        <w:rPr>
          <w:rFonts w:ascii="Verdana" w:hAnsi="Verdana"/>
          <w:lang w:val="es-ES"/>
        </w:rPr>
      </w:pPr>
    </w:p>
    <w:p w14:paraId="252D22F5" w14:textId="77777777" w:rsidR="00F41BF3" w:rsidRDefault="00F41BF3" w:rsidP="00FE7B6C">
      <w:pPr>
        <w:widowControl w:val="0"/>
        <w:spacing w:after="0" w:line="276" w:lineRule="auto"/>
        <w:jc w:val="both"/>
        <w:rPr>
          <w:rFonts w:ascii="Verdana" w:hAnsi="Verdana"/>
          <w:lang w:val="es-ES"/>
        </w:rPr>
      </w:pPr>
    </w:p>
    <w:p w14:paraId="32DF8E47" w14:textId="77777777" w:rsidR="00F41BF3" w:rsidRDefault="00F41BF3" w:rsidP="00FE7B6C">
      <w:pPr>
        <w:widowControl w:val="0"/>
        <w:spacing w:after="0" w:line="276" w:lineRule="auto"/>
        <w:jc w:val="both"/>
        <w:rPr>
          <w:rFonts w:ascii="Verdana" w:hAnsi="Verdana"/>
          <w:lang w:val="es-ES"/>
        </w:rPr>
      </w:pPr>
    </w:p>
    <w:p w14:paraId="5E3EE388" w14:textId="77777777" w:rsidR="00F41BF3" w:rsidRDefault="00F41BF3" w:rsidP="00FE7B6C">
      <w:pPr>
        <w:widowControl w:val="0"/>
        <w:spacing w:after="0" w:line="276" w:lineRule="auto"/>
        <w:jc w:val="both"/>
        <w:rPr>
          <w:rFonts w:ascii="Verdana" w:hAnsi="Verdana"/>
          <w:lang w:val="es-ES"/>
        </w:rPr>
      </w:pPr>
    </w:p>
    <w:p w14:paraId="30B6777B" w14:textId="77777777" w:rsidR="00F41BF3" w:rsidRDefault="00F41BF3" w:rsidP="00FE7B6C">
      <w:pPr>
        <w:widowControl w:val="0"/>
        <w:spacing w:after="0" w:line="276" w:lineRule="auto"/>
        <w:jc w:val="both"/>
        <w:rPr>
          <w:rFonts w:ascii="Verdana" w:hAnsi="Verdana"/>
          <w:lang w:val="es-ES"/>
        </w:rPr>
      </w:pPr>
    </w:p>
    <w:p w14:paraId="554CFFE1" w14:textId="77777777" w:rsidR="00F41BF3" w:rsidRDefault="00F41BF3" w:rsidP="00FE7B6C">
      <w:pPr>
        <w:widowControl w:val="0"/>
        <w:spacing w:after="0" w:line="276" w:lineRule="auto"/>
        <w:jc w:val="both"/>
        <w:rPr>
          <w:rFonts w:ascii="Verdana" w:hAnsi="Verdana"/>
          <w:lang w:val="es-ES"/>
        </w:rPr>
      </w:pPr>
    </w:p>
    <w:p w14:paraId="7B24D713" w14:textId="77777777" w:rsidR="00F41BF3" w:rsidRDefault="00F41BF3" w:rsidP="00FE7B6C">
      <w:pPr>
        <w:widowControl w:val="0"/>
        <w:spacing w:after="0" w:line="276" w:lineRule="auto"/>
        <w:jc w:val="both"/>
        <w:rPr>
          <w:rFonts w:ascii="Verdana" w:hAnsi="Verdana"/>
          <w:lang w:val="es-ES"/>
        </w:rPr>
      </w:pPr>
    </w:p>
    <w:p w14:paraId="1682580B" w14:textId="77777777" w:rsidR="00F41BF3" w:rsidRDefault="00F41BF3" w:rsidP="00FE7B6C">
      <w:pPr>
        <w:widowControl w:val="0"/>
        <w:spacing w:after="0" w:line="276" w:lineRule="auto"/>
        <w:jc w:val="both"/>
        <w:rPr>
          <w:rFonts w:ascii="Verdana" w:hAnsi="Verdana"/>
          <w:lang w:val="es-ES"/>
        </w:rPr>
      </w:pPr>
    </w:p>
    <w:p w14:paraId="20B1F6EF" w14:textId="77777777" w:rsidR="00F41BF3" w:rsidRDefault="00F41BF3" w:rsidP="00FE7B6C">
      <w:pPr>
        <w:widowControl w:val="0"/>
        <w:spacing w:after="0" w:line="276" w:lineRule="auto"/>
        <w:jc w:val="both"/>
        <w:rPr>
          <w:rFonts w:ascii="Verdana" w:hAnsi="Verdana"/>
          <w:lang w:val="es-ES"/>
        </w:rPr>
      </w:pPr>
    </w:p>
    <w:p w14:paraId="4743DA2C" w14:textId="77777777" w:rsidR="00F41BF3" w:rsidRDefault="00F41BF3" w:rsidP="00FE7B6C">
      <w:pPr>
        <w:widowControl w:val="0"/>
        <w:spacing w:after="0" w:line="276" w:lineRule="auto"/>
        <w:jc w:val="both"/>
        <w:rPr>
          <w:rFonts w:ascii="Verdana" w:hAnsi="Verdana"/>
          <w:lang w:val="es-ES"/>
        </w:rPr>
      </w:pPr>
    </w:p>
    <w:p w14:paraId="04C7D803" w14:textId="77777777" w:rsidR="00F41BF3" w:rsidRDefault="00F41BF3" w:rsidP="00FE7B6C">
      <w:pPr>
        <w:widowControl w:val="0"/>
        <w:spacing w:after="0" w:line="276" w:lineRule="auto"/>
        <w:jc w:val="both"/>
        <w:rPr>
          <w:rFonts w:ascii="Verdana" w:hAnsi="Verdana"/>
          <w:lang w:val="es-ES"/>
        </w:rPr>
      </w:pPr>
    </w:p>
    <w:p w14:paraId="550ADC90" w14:textId="77777777" w:rsidR="00F41BF3" w:rsidRDefault="00F41BF3" w:rsidP="00FE7B6C">
      <w:pPr>
        <w:widowControl w:val="0"/>
        <w:spacing w:after="0" w:line="276" w:lineRule="auto"/>
        <w:jc w:val="both"/>
        <w:rPr>
          <w:rFonts w:ascii="Verdana" w:hAnsi="Verdana"/>
          <w:lang w:val="es-ES"/>
        </w:rPr>
      </w:pPr>
    </w:p>
    <w:p w14:paraId="3D5AD24F" w14:textId="77777777" w:rsidR="00F41BF3" w:rsidRDefault="00F41BF3" w:rsidP="00FE7B6C">
      <w:pPr>
        <w:widowControl w:val="0"/>
        <w:spacing w:after="0" w:line="276" w:lineRule="auto"/>
        <w:jc w:val="both"/>
        <w:rPr>
          <w:rFonts w:ascii="Verdana" w:hAnsi="Verdana"/>
          <w:lang w:val="es-ES"/>
        </w:rPr>
      </w:pPr>
    </w:p>
    <w:p w14:paraId="0161F68A" w14:textId="77777777" w:rsidR="00F41BF3" w:rsidRDefault="00F41BF3" w:rsidP="00FE7B6C">
      <w:pPr>
        <w:widowControl w:val="0"/>
        <w:spacing w:after="0" w:line="276" w:lineRule="auto"/>
        <w:jc w:val="both"/>
        <w:rPr>
          <w:rFonts w:ascii="Verdana" w:hAnsi="Verdana"/>
          <w:lang w:val="es-ES"/>
        </w:rPr>
      </w:pPr>
    </w:p>
    <w:p w14:paraId="5A4CF6B6" w14:textId="77777777" w:rsidR="00F41BF3" w:rsidRDefault="00F41BF3" w:rsidP="00FE7B6C">
      <w:pPr>
        <w:widowControl w:val="0"/>
        <w:spacing w:after="0" w:line="276" w:lineRule="auto"/>
        <w:jc w:val="both"/>
        <w:rPr>
          <w:rFonts w:ascii="Verdana" w:hAnsi="Verdana"/>
          <w:lang w:val="es-ES"/>
        </w:rPr>
      </w:pPr>
    </w:p>
    <w:p w14:paraId="2F6E4185" w14:textId="77777777" w:rsidR="00F41BF3" w:rsidRDefault="00F41BF3" w:rsidP="00FE7B6C">
      <w:pPr>
        <w:widowControl w:val="0"/>
        <w:spacing w:after="0" w:line="276" w:lineRule="auto"/>
        <w:jc w:val="both"/>
        <w:rPr>
          <w:rFonts w:ascii="Verdana" w:hAnsi="Verdana"/>
          <w:lang w:val="es-ES"/>
        </w:rPr>
      </w:pPr>
    </w:p>
    <w:p w14:paraId="75C0C6A2" w14:textId="77777777" w:rsidR="00F41BF3" w:rsidRDefault="00F41BF3" w:rsidP="00FE7B6C">
      <w:pPr>
        <w:widowControl w:val="0"/>
        <w:spacing w:after="0" w:line="276" w:lineRule="auto"/>
        <w:jc w:val="both"/>
        <w:rPr>
          <w:rFonts w:ascii="Verdana" w:hAnsi="Verdana"/>
          <w:lang w:val="es-ES"/>
        </w:rPr>
      </w:pPr>
    </w:p>
    <w:p w14:paraId="7DCD4CF0" w14:textId="77777777" w:rsidR="00F41BF3" w:rsidRDefault="00F41BF3" w:rsidP="00FE7B6C">
      <w:pPr>
        <w:widowControl w:val="0"/>
        <w:spacing w:after="0" w:line="276" w:lineRule="auto"/>
        <w:jc w:val="both"/>
        <w:rPr>
          <w:rFonts w:ascii="Verdana" w:hAnsi="Verdana"/>
          <w:lang w:val="es-ES"/>
        </w:rPr>
      </w:pPr>
    </w:p>
    <w:p w14:paraId="49F94ACD" w14:textId="77777777" w:rsidR="00F41BF3" w:rsidRDefault="00F41BF3" w:rsidP="00FE7B6C">
      <w:pPr>
        <w:widowControl w:val="0"/>
        <w:spacing w:after="0" w:line="276" w:lineRule="auto"/>
        <w:jc w:val="both"/>
        <w:rPr>
          <w:rFonts w:ascii="Verdana" w:hAnsi="Verdana"/>
          <w:lang w:val="es-ES"/>
        </w:rPr>
      </w:pPr>
    </w:p>
    <w:p w14:paraId="49350461" w14:textId="77777777" w:rsidR="00F41BF3" w:rsidRDefault="00F41BF3" w:rsidP="00FE7B6C">
      <w:pPr>
        <w:widowControl w:val="0"/>
        <w:spacing w:after="0" w:line="276" w:lineRule="auto"/>
        <w:jc w:val="both"/>
        <w:rPr>
          <w:rFonts w:ascii="Verdana" w:hAnsi="Verdana"/>
          <w:lang w:val="es-ES"/>
        </w:rPr>
      </w:pPr>
    </w:p>
    <w:p w14:paraId="16E27EB8" w14:textId="7BB77CA0" w:rsidR="00FE7B6C" w:rsidRPr="00270E87" w:rsidRDefault="00FE7B6C" w:rsidP="00FE7B6C">
      <w:pPr>
        <w:widowControl w:val="0"/>
        <w:spacing w:after="0" w:line="276" w:lineRule="auto"/>
        <w:jc w:val="both"/>
        <w:rPr>
          <w:rFonts w:ascii="Verdana" w:hAnsi="Verdana"/>
          <w:lang w:val="es-ES"/>
        </w:rPr>
      </w:pPr>
      <w:r w:rsidRPr="00270E87">
        <w:rPr>
          <w:rFonts w:ascii="Verdana" w:hAnsi="Verdana"/>
          <w:lang w:val="es-ES"/>
        </w:rPr>
        <w:lastRenderedPageBreak/>
        <w:t xml:space="preserve">Bogotá D.C., </w:t>
      </w:r>
      <w:r w:rsidR="00F41BF3">
        <w:rPr>
          <w:rFonts w:ascii="Verdana" w:hAnsi="Verdana"/>
          <w:lang w:val="es-ES"/>
        </w:rPr>
        <w:t>28 de octubre de 2026</w:t>
      </w:r>
    </w:p>
    <w:p w14:paraId="0A242653" w14:textId="34C8E35D" w:rsidR="00FE7B6C" w:rsidRPr="00270E87" w:rsidRDefault="00F41BF3" w:rsidP="00FE7B6C">
      <w:pPr>
        <w:spacing w:after="0"/>
        <w:rPr>
          <w:rFonts w:ascii="Verdana" w:hAnsi="Verdana"/>
          <w:lang w:val="es-ES"/>
        </w:rPr>
      </w:pPr>
      <w:r>
        <w:rPr>
          <w:rFonts w:ascii="Verdana" w:eastAsia="Calibri" w:hAnsi="Verdana" w:cs="Arial"/>
          <w:b/>
          <w:noProof/>
          <w:color w:val="000000" w:themeColor="text1"/>
          <w:lang w:eastAsia="es-ES"/>
        </w:rPr>
        <w:drawing>
          <wp:anchor distT="0" distB="0" distL="114300" distR="114300" simplePos="0" relativeHeight="251660288" behindDoc="0" locked="0" layoutInCell="1" allowOverlap="1" wp14:anchorId="79590977" wp14:editId="58FED893">
            <wp:simplePos x="0" y="0"/>
            <wp:positionH relativeFrom="column">
              <wp:posOffset>2805642</wp:posOffset>
            </wp:positionH>
            <wp:positionV relativeFrom="paragraph">
              <wp:posOffset>183303</wp:posOffset>
            </wp:positionV>
            <wp:extent cx="2715260" cy="762000"/>
            <wp:effectExtent l="0" t="0" r="2540" b="0"/>
            <wp:wrapSquare wrapText="bothSides"/>
            <wp:docPr id="906833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33132" name="Picture 906833132"/>
                    <pic:cNvPicPr/>
                  </pic:nvPicPr>
                  <pic:blipFill>
                    <a:blip r:embed="rId11">
                      <a:extLst>
                        <a:ext uri="{28A0092B-C50C-407E-A947-70E740481C1C}">
                          <a14:useLocalDpi xmlns:a14="http://schemas.microsoft.com/office/drawing/2010/main" val="0"/>
                        </a:ext>
                      </a:extLst>
                    </a:blip>
                    <a:stretch>
                      <a:fillRect/>
                    </a:stretch>
                  </pic:blipFill>
                  <pic:spPr>
                    <a:xfrm>
                      <a:off x="0" y="0"/>
                      <a:ext cx="2715260" cy="762000"/>
                    </a:xfrm>
                    <a:prstGeom prst="rect">
                      <a:avLst/>
                    </a:prstGeom>
                  </pic:spPr>
                </pic:pic>
              </a:graphicData>
            </a:graphic>
            <wp14:sizeRelH relativeFrom="page">
              <wp14:pctWidth>0</wp14:pctWidth>
            </wp14:sizeRelH>
            <wp14:sizeRelV relativeFrom="page">
              <wp14:pctHeight>0</wp14:pctHeight>
            </wp14:sizeRelV>
          </wp:anchor>
        </w:drawing>
      </w:r>
    </w:p>
    <w:p w14:paraId="27DEEA96" w14:textId="226E4976" w:rsidR="00FE7B6C" w:rsidRPr="00270E87" w:rsidRDefault="00FE7B6C" w:rsidP="00FE7B6C">
      <w:pPr>
        <w:spacing w:after="0" w:line="240" w:lineRule="auto"/>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Señora</w:t>
      </w:r>
    </w:p>
    <w:p w14:paraId="2DDA4B51" w14:textId="1D2F25C6" w:rsidR="00FE7B6C" w:rsidRPr="009F4C8E" w:rsidRDefault="00FE7B6C" w:rsidP="00FE7B6C">
      <w:pPr>
        <w:spacing w:after="0" w:line="240" w:lineRule="auto"/>
        <w:rPr>
          <w:rFonts w:ascii="Verdana" w:eastAsia="Calibri" w:hAnsi="Verdana" w:cs="Arial"/>
          <w:b/>
          <w:color w:val="000000" w:themeColor="text1"/>
          <w:lang w:eastAsia="es-ES"/>
        </w:rPr>
      </w:pPr>
      <w:r>
        <w:rPr>
          <w:rFonts w:ascii="Verdana" w:eastAsia="Calibri" w:hAnsi="Verdana" w:cs="Arial"/>
          <w:b/>
          <w:color w:val="000000" w:themeColor="text1"/>
          <w:lang w:eastAsia="es-ES"/>
        </w:rPr>
        <w:t>Laura Díaz Cortés</w:t>
      </w:r>
    </w:p>
    <w:p w14:paraId="2A883F90" w14:textId="77777777" w:rsidR="00FE7B6C" w:rsidRPr="00D8637B" w:rsidRDefault="00FE7B6C" w:rsidP="00FE7B6C">
      <w:pPr>
        <w:spacing w:after="0" w:line="240" w:lineRule="auto"/>
        <w:rPr>
          <w:rFonts w:ascii="Verdana" w:eastAsia="Calibri" w:hAnsi="Verdana" w:cs="Arial"/>
          <w:color w:val="000000" w:themeColor="text1"/>
          <w:lang w:eastAsia="es-ES"/>
        </w:rPr>
      </w:pPr>
      <w:hyperlink r:id="rId12" w:history="1">
        <w:r w:rsidRPr="00F10EAA">
          <w:rPr>
            <w:rStyle w:val="Hyperlink"/>
            <w:rFonts w:ascii="Verdana" w:hAnsi="Verdana"/>
          </w:rPr>
          <w:t>lauradcortes1@gmail.com</w:t>
        </w:r>
      </w:hyperlink>
      <w:r>
        <w:rPr>
          <w:rFonts w:ascii="Verdana" w:eastAsia="Calibri" w:hAnsi="Verdana" w:cs="Arial"/>
          <w:color w:val="000000" w:themeColor="text1"/>
          <w:lang w:eastAsia="es-ES"/>
        </w:rPr>
        <w:t xml:space="preserve"> </w:t>
      </w:r>
    </w:p>
    <w:p w14:paraId="47FB48AF" w14:textId="77777777" w:rsidR="00FE7B6C" w:rsidRPr="00270E87" w:rsidRDefault="00FE7B6C" w:rsidP="00FE7B6C">
      <w:pPr>
        <w:spacing w:after="0" w:line="240" w:lineRule="auto"/>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Bogotá D.C.</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E7B6C" w:rsidRPr="00270E87" w14:paraId="2AFD31AF" w14:textId="77777777" w:rsidTr="00D145FE">
        <w:trPr>
          <w:trHeight w:val="300"/>
        </w:trPr>
        <w:tc>
          <w:tcPr>
            <w:tcW w:w="2410" w:type="dxa"/>
          </w:tcPr>
          <w:p w14:paraId="0E204575" w14:textId="77777777" w:rsidR="00FE7B6C" w:rsidRPr="00270E87" w:rsidRDefault="00FE7B6C" w:rsidP="00D145FE">
            <w:pPr>
              <w:ind w:left="-142"/>
              <w:jc w:val="both"/>
              <w:rPr>
                <w:rFonts w:ascii="Verdana" w:eastAsia="Calibri" w:hAnsi="Verdana" w:cs="Arial"/>
                <w:b/>
                <w:bCs/>
                <w:color w:val="000000" w:themeColor="text1"/>
                <w:lang w:val="es-ES" w:eastAsia="es-ES_tradnl"/>
              </w:rPr>
            </w:pPr>
          </w:p>
        </w:tc>
        <w:tc>
          <w:tcPr>
            <w:tcW w:w="6100" w:type="dxa"/>
          </w:tcPr>
          <w:p w14:paraId="071551DB" w14:textId="77777777" w:rsidR="00FE7B6C" w:rsidRPr="00270E87" w:rsidRDefault="00FE7B6C" w:rsidP="00D145FE">
            <w:pPr>
              <w:ind w:left="3"/>
              <w:jc w:val="both"/>
              <w:rPr>
                <w:rFonts w:ascii="Verdana" w:eastAsia="Calibri" w:hAnsi="Verdana" w:cs="Arial"/>
                <w:b/>
                <w:bCs/>
                <w:color w:val="000000" w:themeColor="text1"/>
                <w:lang w:val="es-ES" w:eastAsia="es-ES"/>
              </w:rPr>
            </w:pPr>
          </w:p>
          <w:p w14:paraId="57F1E273" w14:textId="102722D0" w:rsidR="00FE7B6C" w:rsidRPr="00270E87" w:rsidRDefault="00FE7B6C" w:rsidP="00D145FE">
            <w:pPr>
              <w:ind w:left="3"/>
              <w:jc w:val="both"/>
              <w:rPr>
                <w:rFonts w:ascii="Verdana" w:eastAsia="Calibri" w:hAnsi="Verdana" w:cs="Arial"/>
                <w:b/>
                <w:bCs/>
                <w:color w:val="000000" w:themeColor="text1"/>
                <w:lang w:val="es-ES" w:eastAsia="es-ES"/>
              </w:rPr>
            </w:pPr>
            <w:r w:rsidRPr="00270E87">
              <w:rPr>
                <w:rFonts w:ascii="Verdana" w:eastAsia="Calibri" w:hAnsi="Verdana" w:cs="Arial"/>
                <w:b/>
                <w:bCs/>
                <w:color w:val="000000" w:themeColor="text1"/>
                <w:lang w:val="es-ES" w:eastAsia="es-ES"/>
              </w:rPr>
              <w:t>Concepto C-</w:t>
            </w:r>
            <w:r w:rsidR="00D87829">
              <w:rPr>
                <w:rFonts w:ascii="Verdana" w:eastAsia="Calibri" w:hAnsi="Verdana" w:cs="Arial"/>
                <w:b/>
                <w:bCs/>
                <w:color w:val="000000" w:themeColor="text1"/>
                <w:lang w:val="es-ES" w:eastAsia="es-ES"/>
              </w:rPr>
              <w:t>1643</w:t>
            </w:r>
            <w:r w:rsidRPr="00270E87">
              <w:rPr>
                <w:rFonts w:ascii="Verdana" w:eastAsia="Calibri" w:hAnsi="Verdana" w:cs="Arial"/>
                <w:b/>
                <w:bCs/>
                <w:color w:val="000000" w:themeColor="text1"/>
                <w:lang w:val="es-ES" w:eastAsia="es-ES"/>
              </w:rPr>
              <w:t xml:space="preserve"> de 2026</w:t>
            </w:r>
          </w:p>
          <w:p w14:paraId="75892FD7" w14:textId="77777777" w:rsidR="00FE7B6C" w:rsidRPr="00270E87" w:rsidRDefault="00FE7B6C" w:rsidP="00D145FE">
            <w:pPr>
              <w:ind w:left="3"/>
              <w:jc w:val="both"/>
              <w:rPr>
                <w:rFonts w:ascii="Verdana" w:eastAsia="Calibri" w:hAnsi="Verdana" w:cs="Arial"/>
                <w:b/>
                <w:bCs/>
                <w:color w:val="000000" w:themeColor="text1"/>
                <w:lang w:val="es-ES" w:eastAsia="es-ES"/>
              </w:rPr>
            </w:pPr>
          </w:p>
        </w:tc>
      </w:tr>
      <w:tr w:rsidR="00FE7B6C" w:rsidRPr="00270E87" w14:paraId="44382B34" w14:textId="77777777" w:rsidTr="00D145FE">
        <w:trPr>
          <w:trHeight w:val="300"/>
        </w:trPr>
        <w:tc>
          <w:tcPr>
            <w:tcW w:w="2410" w:type="dxa"/>
          </w:tcPr>
          <w:p w14:paraId="4E67D3AD" w14:textId="77777777" w:rsidR="00FE7B6C" w:rsidRPr="00270E87" w:rsidRDefault="00FE7B6C" w:rsidP="00D145FE">
            <w:pPr>
              <w:ind w:left="424" w:firstLine="142"/>
              <w:jc w:val="both"/>
              <w:rPr>
                <w:rFonts w:ascii="Verdana" w:eastAsia="Calibri" w:hAnsi="Verdana" w:cs="Arial"/>
                <w:color w:val="000000" w:themeColor="text1"/>
                <w:lang w:val="es-ES" w:eastAsia="es-ES_tradnl"/>
              </w:rPr>
            </w:pPr>
            <w:r w:rsidRPr="00270E87">
              <w:rPr>
                <w:rFonts w:ascii="Verdana" w:eastAsia="Calibri" w:hAnsi="Verdana" w:cs="Arial"/>
                <w:b/>
                <w:color w:val="000000" w:themeColor="text1"/>
                <w:lang w:val="es-ES" w:eastAsia="es-ES_tradnl"/>
              </w:rPr>
              <w:t>Temas:</w:t>
            </w:r>
            <w:r w:rsidRPr="00270E87">
              <w:rPr>
                <w:rFonts w:ascii="Verdana" w:eastAsia="Calibri" w:hAnsi="Verdana" w:cs="Arial"/>
                <w:color w:val="000000" w:themeColor="text1"/>
                <w:lang w:val="es-ES" w:eastAsia="es-ES_tradnl"/>
              </w:rPr>
              <w:t xml:space="preserve">                  </w:t>
            </w:r>
          </w:p>
        </w:tc>
        <w:tc>
          <w:tcPr>
            <w:tcW w:w="6100" w:type="dxa"/>
          </w:tcPr>
          <w:p w14:paraId="00306A2B" w14:textId="77777777" w:rsidR="00FE7B6C" w:rsidRDefault="00FE7B6C" w:rsidP="00D145FE">
            <w:pPr>
              <w:jc w:val="both"/>
              <w:rPr>
                <w:rFonts w:ascii="Verdana" w:eastAsia="Calibri" w:hAnsi="Verdana" w:cs="Arial"/>
                <w:color w:val="000000" w:themeColor="text1"/>
                <w:lang w:eastAsia="es-ES"/>
              </w:rPr>
            </w:pPr>
            <w:r w:rsidRPr="006719A0">
              <w:rPr>
                <w:rFonts w:ascii="Verdana" w:eastAsia="Calibri" w:hAnsi="Verdana" w:cs="Arial"/>
                <w:color w:val="000000" w:themeColor="text1"/>
                <w:lang w:eastAsia="es-ES"/>
              </w:rPr>
              <w:t>SUBSANABILIDAD DE LAS OFERTAS – Requerimiento – Especificidad – Alcance – Ley 1882 de 2018 / INFORME DE EVALUACIÓN – Traslado – Observaciones – Modificación / CAPACIDAD JURÍDICA – Personas jurídicas – Representante legal – Autorización del órgano social – Valor probatorio / DECLARATORIA DE DESIERTA – Procedencia – Selección objetiva</w:t>
            </w:r>
          </w:p>
          <w:p w14:paraId="5C65B0B0" w14:textId="77777777" w:rsidR="00FE7B6C" w:rsidRPr="00270E87" w:rsidRDefault="00FE7B6C" w:rsidP="00D145FE">
            <w:pPr>
              <w:jc w:val="both"/>
              <w:rPr>
                <w:rFonts w:ascii="Verdana" w:eastAsia="Calibri" w:hAnsi="Verdana" w:cs="Arial"/>
                <w:color w:val="000000" w:themeColor="text1"/>
                <w:lang w:val="es-ES" w:eastAsia="es-ES"/>
              </w:rPr>
            </w:pPr>
          </w:p>
        </w:tc>
      </w:tr>
      <w:tr w:rsidR="00FE7B6C" w:rsidRPr="00270E87" w14:paraId="4267E359" w14:textId="77777777" w:rsidTr="00D30026">
        <w:trPr>
          <w:trHeight w:val="102"/>
        </w:trPr>
        <w:tc>
          <w:tcPr>
            <w:tcW w:w="2410" w:type="dxa"/>
          </w:tcPr>
          <w:p w14:paraId="39DE34E5" w14:textId="77777777" w:rsidR="00FE7B6C" w:rsidRPr="00270E87" w:rsidRDefault="00FE7B6C" w:rsidP="00D145FE">
            <w:pPr>
              <w:ind w:left="561"/>
              <w:jc w:val="both"/>
              <w:rPr>
                <w:rFonts w:ascii="Verdana" w:eastAsia="Calibri" w:hAnsi="Verdana" w:cs="Arial"/>
                <w:b/>
                <w:color w:val="000000" w:themeColor="text1"/>
                <w:lang w:val="es-ES" w:eastAsia="es-ES_tradnl"/>
              </w:rPr>
            </w:pPr>
            <w:r w:rsidRPr="00270E87">
              <w:rPr>
                <w:rFonts w:ascii="Verdana" w:eastAsia="Calibri" w:hAnsi="Verdana" w:cs="Arial"/>
                <w:b/>
                <w:color w:val="000000" w:themeColor="text1"/>
                <w:lang w:val="es-ES" w:eastAsia="es-ES_tradnl"/>
              </w:rPr>
              <w:t xml:space="preserve">Radicación:              </w:t>
            </w:r>
          </w:p>
        </w:tc>
        <w:tc>
          <w:tcPr>
            <w:tcW w:w="6100" w:type="dxa"/>
          </w:tcPr>
          <w:p w14:paraId="1CA00837" w14:textId="77777777" w:rsidR="00FE7B6C" w:rsidRPr="00270E87" w:rsidRDefault="00FE7B6C" w:rsidP="00D145FE">
            <w:pPr>
              <w:ind w:left="3"/>
              <w:jc w:val="both"/>
              <w:rPr>
                <w:rFonts w:ascii="Verdana" w:hAnsi="Verdana"/>
                <w:bCs/>
                <w:color w:val="000000"/>
                <w:lang w:val="es-ES"/>
              </w:rPr>
            </w:pPr>
            <w:r w:rsidRPr="00270E87">
              <w:rPr>
                <w:rFonts w:ascii="Verdana" w:eastAsia="Calibri" w:hAnsi="Verdana" w:cs="Arial"/>
                <w:bCs/>
                <w:color w:val="000000" w:themeColor="text1"/>
                <w:lang w:val="es-ES" w:eastAsia="es-ES"/>
              </w:rPr>
              <w:t xml:space="preserve">Respuesta a </w:t>
            </w:r>
            <w:r w:rsidRPr="00D30026">
              <w:rPr>
                <w:rFonts w:ascii="Verdana" w:eastAsia="Calibri" w:hAnsi="Verdana" w:cs="Arial"/>
                <w:bCs/>
                <w:color w:val="000000" w:themeColor="text1"/>
                <w:lang w:val="es-ES" w:eastAsia="es-ES"/>
              </w:rPr>
              <w:t>consulta con radicado No.</w:t>
            </w:r>
            <w:r w:rsidRPr="00D30026">
              <w:rPr>
                <w:rFonts w:ascii="Verdana" w:hAnsi="Verdana" w:cs="Segoe UI"/>
                <w:bCs/>
                <w:color w:val="000000" w:themeColor="text1"/>
                <w:shd w:val="clear" w:color="auto" w:fill="FFFFFF"/>
                <w:lang w:val="es-ES"/>
              </w:rPr>
              <w:t xml:space="preserve"> 1_2026_10_16_014061</w:t>
            </w:r>
            <w:r w:rsidRPr="00D30026">
              <w:rPr>
                <w:rFonts w:ascii="Verdana" w:eastAsia="Calibri" w:hAnsi="Verdana" w:cs="Arial"/>
                <w:bCs/>
                <w:color w:val="000000" w:themeColor="text1"/>
                <w:lang w:val="es-ES" w:eastAsia="es-ES"/>
              </w:rPr>
              <w:t xml:space="preserve"> </w:t>
            </w:r>
          </w:p>
        </w:tc>
      </w:tr>
    </w:tbl>
    <w:p w14:paraId="26899E1B" w14:textId="77777777" w:rsidR="00FE7B6C" w:rsidRPr="00270E87" w:rsidRDefault="00FE7B6C" w:rsidP="00FE7B6C">
      <w:pPr>
        <w:spacing w:after="0" w:line="276" w:lineRule="auto"/>
        <w:jc w:val="both"/>
        <w:rPr>
          <w:rFonts w:ascii="Verdana" w:eastAsia="Calibri" w:hAnsi="Verdana" w:cs="Arial"/>
          <w:color w:val="000000" w:themeColor="text1"/>
          <w:lang w:val="es-ES" w:eastAsia="es-ES"/>
        </w:rPr>
      </w:pPr>
    </w:p>
    <w:p w14:paraId="0883444F" w14:textId="77777777" w:rsidR="00FE7B6C" w:rsidRPr="00270E87" w:rsidRDefault="00FE7B6C" w:rsidP="00FE7B6C">
      <w:pPr>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270E87">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270E87">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Díaz</w:t>
      </w:r>
      <w:r w:rsidRPr="00270E87">
        <w:rPr>
          <w:rFonts w:ascii="Verdana" w:eastAsia="Calibri" w:hAnsi="Verdana" w:cs="Arial"/>
          <w:color w:val="000000" w:themeColor="text1"/>
          <w:lang w:val="es-ES" w:eastAsia="es-ES"/>
        </w:rPr>
        <w:t xml:space="preserve">: </w:t>
      </w:r>
    </w:p>
    <w:p w14:paraId="2EE03DA7" w14:textId="77777777" w:rsidR="00FE7B6C" w:rsidRPr="00270E87" w:rsidRDefault="00FE7B6C" w:rsidP="00FE7B6C">
      <w:pPr>
        <w:tabs>
          <w:tab w:val="left" w:pos="3768"/>
        </w:tabs>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ab/>
      </w:r>
    </w:p>
    <w:p w14:paraId="6BA9F6EC" w14:textId="77777777" w:rsidR="00FE7B6C" w:rsidRPr="00270E87" w:rsidRDefault="00FE7B6C" w:rsidP="00FE7B6C">
      <w:pPr>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En ejercicio de la competencia otorgada por los artículos 3, numeral 5º, y 11, numeral 8º, del Decreto Ley 4170 de 2011,</w:t>
      </w:r>
      <w:r w:rsidRPr="00270E87">
        <w:rPr>
          <w:rFonts w:ascii="Verdana" w:eastAsia="Arial MT" w:hAnsi="Verdana" w:cs="Arial MT"/>
          <w:color w:val="000000" w:themeColor="text1"/>
          <w:lang w:val="es-ES" w:eastAsia="es-ES"/>
        </w:rPr>
        <w:t xml:space="preserve"> </w:t>
      </w:r>
      <w:r w:rsidRPr="00270E87">
        <w:rPr>
          <w:rFonts w:ascii="Verdana" w:hAnsi="Verdana" w:cs="Arial"/>
          <w:color w:val="000000" w:themeColor="text1"/>
          <w:lang w:val="es-ES"/>
        </w:rPr>
        <w:t xml:space="preserve">así como lo establecido en el artículo 4 de la Resolución 1707 de 2018 expedida por esta Entidad, </w:t>
      </w:r>
      <w:r w:rsidRPr="00270E87">
        <w:rPr>
          <w:rFonts w:ascii="Verdana" w:eastAsia="Calibri" w:hAnsi="Verdana" w:cs="Arial"/>
          <w:color w:val="000000" w:themeColor="text1"/>
          <w:lang w:val="es-ES" w:eastAsia="es-ES"/>
        </w:rPr>
        <w:t xml:space="preserve">la Agencia Nacional de Contratación Pública – Colombia Compra Eficiente– responde su solicitud de consulta del </w:t>
      </w:r>
      <w:r>
        <w:rPr>
          <w:rFonts w:ascii="Verdana" w:eastAsia="Calibri" w:hAnsi="Verdana" w:cs="Arial"/>
          <w:color w:val="000000" w:themeColor="text1"/>
          <w:lang w:val="es-ES" w:eastAsia="es-ES"/>
        </w:rPr>
        <w:t xml:space="preserve">16 de octubre de </w:t>
      </w:r>
      <w:r w:rsidRPr="00270E87">
        <w:rPr>
          <w:rFonts w:ascii="Verdana" w:eastAsia="Calibri" w:hAnsi="Verdana" w:cs="Arial"/>
          <w:color w:val="000000" w:themeColor="text1"/>
          <w:lang w:val="es-ES" w:eastAsia="es-ES"/>
        </w:rPr>
        <w:t xml:space="preserve">2026, en la cual manifiesta lo siguiente: </w:t>
      </w:r>
    </w:p>
    <w:p w14:paraId="7272B1F8" w14:textId="77777777" w:rsidR="00FE7B6C" w:rsidRPr="00270E87" w:rsidRDefault="00FE7B6C" w:rsidP="00FE7B6C">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35226936" w14:textId="77777777" w:rsidR="00FE7B6C" w:rsidRPr="00D8637B" w:rsidRDefault="00FE7B6C" w:rsidP="00FE7B6C">
      <w:pPr>
        <w:ind w:left="720" w:right="709"/>
        <w:jc w:val="both"/>
        <w:rPr>
          <w:rFonts w:ascii="Verdana" w:eastAsia="Calibri" w:hAnsi="Verdana" w:cs="Arial"/>
          <w:i/>
          <w:sz w:val="20"/>
          <w:szCs w:val="20"/>
        </w:rPr>
      </w:pPr>
      <w:r w:rsidRPr="00270E87">
        <w:rPr>
          <w:rFonts w:ascii="Verdana" w:eastAsia="Calibri" w:hAnsi="Verdana" w:cs="Arial"/>
          <w:i/>
          <w:iCs/>
          <w:sz w:val="20"/>
          <w:szCs w:val="20"/>
          <w:lang w:val="es-ES"/>
        </w:rPr>
        <w:t>“[…]</w:t>
      </w:r>
      <w:r>
        <w:rPr>
          <w:rFonts w:ascii="Verdana" w:eastAsia="Calibri" w:hAnsi="Verdana" w:cs="Arial"/>
          <w:i/>
          <w:sz w:val="20"/>
          <w:szCs w:val="20"/>
        </w:rPr>
        <w:t xml:space="preserve"> 1. ¿Cuál es el grado de especificidad que deben tener los requerimientos de subsanación que formulan las entidades estatales?, y si estas deben indicar de manera concreta la deficiencia y el documento o la información requerida. </w:t>
      </w:r>
    </w:p>
    <w:p w14:paraId="042B08AC"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2. ¿Cuál es el alcance de los requerimientos de subsanación cuando la entidad señala una deficiencia específica dentro de un requisito habilitante? En particular, si el proponente está obligado a corregir únicamente lo que la entidad le indicó, o si debe también identificar y subsanar por iniciativa propia otros aspectos del mismo requisito que la entidad no mencionó. Asimismo, si la entidad, una vez atendido lo requerido, puede rechazar la oferta por aspectos que no fueron objeto del </w:t>
      </w:r>
      <w:r>
        <w:rPr>
          <w:rFonts w:ascii="Verdana" w:eastAsia="Calibri" w:hAnsi="Verdana" w:cs="Arial"/>
          <w:i/>
          <w:sz w:val="20"/>
          <w:szCs w:val="20"/>
        </w:rPr>
        <w:lastRenderedPageBreak/>
        <w:t xml:space="preserve">requerimiento y respecto de los cuales no se dio al proponente la oportunidad de subsanar. </w:t>
      </w:r>
    </w:p>
    <w:p w14:paraId="01F86FFA"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3. ¿Cuál es la naturaleza del traslado que la entidad efectúa de las observaciones presentadas por un oferente sobre la oferta de otro, cuando concede un plazo para responder? y en particular si dicho traslado equivale o puede sustituir el requerimiento de subsanación a cargo de la entidad. </w:t>
      </w:r>
    </w:p>
    <w:p w14:paraId="32EC73DB"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4. Si es procedente modificar el informe de evaluación con fundamento en observaciones de otros oferentes, para rechazar una oferta por un alcance a un requisito que no fue requerido de manera específica por la entidad en el informe inicial. En tal evento, si debe concederse al proponente afectado la oportunidad de subsanar y el término de traslado legalmente previsto para la modalidad de selección. </w:t>
      </w:r>
    </w:p>
    <w:p w14:paraId="34256E94"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5. Si es procedente aportar, en la etapa de observaciones al informe definitivo, documentos que aclaren circunstancias ya contenidas en lo aportado dentro del término de traslado del informe de evaluación preliminar, con el fin de confirmar hechos o autorizaciones ocurridos antes del cierre. Lo anterior, en relación con la prohibición de acreditar circunstancias posteriores al cierre. </w:t>
      </w:r>
    </w:p>
    <w:p w14:paraId="1B100254"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6.¿Cuáles son los documentos con los que se entiende acreditada la autorización del órgano social competente cuando el representante legal tiene limitaciones para presentar ofertas o suscribir contratos? Y ¿cuáles son los aspectos que debe verificar la entidad en dichos documentos?, ¿cuál es el alcance de la exigencia de aportar el acta en la que conste la decisión del órgano competente? En particular, si basta el acta del órgano competente o si la entidad debe exigir documentos adicionales no previstos en la ley ni en el pliego de condiciones, como estatutos o soportes de quórum y votación, para evaluar el requisito. </w:t>
      </w:r>
    </w:p>
    <w:p w14:paraId="50360CD5"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7. ¿Cuál es el alcance probatorio que deben reconocer las entidades estatales a las actas de los órganos de dirección de personas jurídicas de derecho privado, incluidas las entidades sin ánimo de lucro, cuando se encuentran suscritas por quienes corresponda y en ellas consta la verificación del quórum y la decisión adoptada?, asimismo ¿en qué circunstancias puede la entidad contratante considerar insuficiente su contenido y qué elementos objetivos debe identificar para sustentar esa conclusión, particularmente cuando no se ha cuestionado la autenticidad del documento ni la autoría de sus firmantes? </w:t>
      </w:r>
    </w:p>
    <w:p w14:paraId="449729AF"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8. Si las entidades estatales tienen la facultad de cuestionar el quórum de una decisión adoptada por el órgano de dirección de una persona jurídica de derecho privado, cuando en el acta respectiva consta la verificación del </w:t>
      </w:r>
      <w:r>
        <w:rPr>
          <w:rFonts w:ascii="Verdana" w:eastAsia="Calibri" w:hAnsi="Verdana" w:cs="Arial"/>
          <w:i/>
          <w:sz w:val="20"/>
          <w:szCs w:val="20"/>
        </w:rPr>
        <w:lastRenderedPageBreak/>
        <w:t xml:space="preserve">quórum y el documento está suscrito por el presidente y el secretario de la reunión. En particular, se solicita informar si dicha constancia es suficiente para tener por acreditado el quórum, o si la entidad debe exigir soportes adicionales para comprobarlo, sin que el pliego de condiciones lo haya previsto. </w:t>
      </w:r>
    </w:p>
    <w:p w14:paraId="76270466"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 xml:space="preserve">9. ¿Cuál es la competencia de las entidades estatales, en el marco de un proceso de selección, para cuestionar la validez, eficacia o regularidad en la conformación de decisiones adoptadas por órganos de dirección de personas jurídicas privadas por defectos formales sin que exista declaración de nulidad o ineficacia por autoridad competente? </w:t>
      </w:r>
    </w:p>
    <w:p w14:paraId="51E0B77D" w14:textId="77777777" w:rsidR="00FE7B6C" w:rsidRPr="00D8637B" w:rsidRDefault="00FE7B6C" w:rsidP="00FE7B6C">
      <w:pPr>
        <w:ind w:left="720" w:right="709"/>
        <w:jc w:val="both"/>
        <w:rPr>
          <w:rFonts w:ascii="Verdana" w:eastAsia="Calibri" w:hAnsi="Verdana" w:cs="Arial"/>
          <w:i/>
          <w:sz w:val="20"/>
          <w:szCs w:val="20"/>
        </w:rPr>
      </w:pPr>
      <w:r>
        <w:rPr>
          <w:rFonts w:ascii="Verdana" w:eastAsia="Calibri" w:hAnsi="Verdana" w:cs="Arial"/>
          <w:i/>
          <w:sz w:val="20"/>
          <w:szCs w:val="20"/>
        </w:rPr>
        <w:t>10.¿Cuáles son los criterios sobre la procedencia de la declaratoria de desierta, conforme al numeral 18 del artículo 25 de la Ley 80 de 1993, cuando existe al menos una oferta que podría ser objeto de adjudicación y la causa invocada es de naturaleza formal o documental? […]”.</w:t>
      </w:r>
    </w:p>
    <w:p w14:paraId="34EC08C2" w14:textId="77777777" w:rsidR="00FE7B6C" w:rsidRPr="00270E87" w:rsidRDefault="00FE7B6C" w:rsidP="00FE7B6C">
      <w:pPr>
        <w:spacing w:after="0" w:line="276" w:lineRule="auto"/>
        <w:ind w:right="709"/>
        <w:jc w:val="both"/>
        <w:rPr>
          <w:rFonts w:ascii="Verdana" w:eastAsia="Calibri" w:hAnsi="Verdana" w:cs="Arial"/>
          <w:lang w:val="es-ES"/>
        </w:rPr>
      </w:pPr>
    </w:p>
    <w:p w14:paraId="5E18C5DA" w14:textId="77777777" w:rsidR="00FE7B6C" w:rsidRPr="00270E87" w:rsidRDefault="00FE7B6C" w:rsidP="00FE7B6C">
      <w:pPr>
        <w:spacing w:after="120" w:line="276" w:lineRule="auto"/>
        <w:ind w:firstLine="708"/>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0E87">
        <w:rPr>
          <w:lang w:val="es-ES"/>
        </w:rPr>
        <w:tab/>
      </w:r>
    </w:p>
    <w:p w14:paraId="776B320E" w14:textId="77777777" w:rsidR="00FE7B6C" w:rsidRPr="00270E87" w:rsidRDefault="00FE7B6C" w:rsidP="00FE7B6C">
      <w:pPr>
        <w:spacing w:after="0" w:line="276" w:lineRule="auto"/>
        <w:ind w:firstLine="709"/>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66C3892" w14:textId="77777777" w:rsidR="00FE7B6C" w:rsidRPr="00270E87" w:rsidRDefault="00FE7B6C" w:rsidP="00FE7B6C">
      <w:pPr>
        <w:spacing w:after="0" w:line="276" w:lineRule="auto"/>
        <w:jc w:val="both"/>
        <w:rPr>
          <w:rFonts w:ascii="Verdana" w:eastAsia="Calibri" w:hAnsi="Verdana" w:cs="Arial"/>
          <w:color w:val="000000" w:themeColor="text1"/>
          <w:lang w:val="es-ES" w:eastAsia="es-ES"/>
        </w:rPr>
      </w:pPr>
    </w:p>
    <w:p w14:paraId="60C3320C" w14:textId="77777777" w:rsidR="00FE7B6C" w:rsidRPr="00270E87" w:rsidRDefault="00FE7B6C" w:rsidP="00FE7B6C">
      <w:pPr>
        <w:pStyle w:val="ListParagraph"/>
        <w:numPr>
          <w:ilvl w:val="0"/>
          <w:numId w:val="19"/>
        </w:numPr>
        <w:tabs>
          <w:tab w:val="left" w:pos="142"/>
          <w:tab w:val="left" w:pos="284"/>
        </w:tabs>
        <w:spacing w:after="0" w:line="276" w:lineRule="auto"/>
        <w:jc w:val="both"/>
        <w:rPr>
          <w:rFonts w:ascii="Verdana" w:eastAsia="Century Gothic" w:hAnsi="Verdana" w:cs="Century Gothic"/>
          <w:b/>
          <w:color w:val="000000" w:themeColor="text1"/>
        </w:rPr>
      </w:pPr>
      <w:r w:rsidRPr="00270E87">
        <w:rPr>
          <w:rFonts w:ascii="Verdana" w:eastAsia="Century Gothic" w:hAnsi="Verdana" w:cs="Century Gothic"/>
          <w:b/>
          <w:bCs/>
          <w:color w:val="000000" w:themeColor="text1"/>
        </w:rPr>
        <w:t>Problema planteado:</w:t>
      </w:r>
    </w:p>
    <w:p w14:paraId="3B63DD9C" w14:textId="77777777" w:rsidR="00FE7B6C" w:rsidRPr="00270E87" w:rsidRDefault="00FE7B6C" w:rsidP="00FE7B6C">
      <w:pPr>
        <w:tabs>
          <w:tab w:val="left" w:pos="426"/>
        </w:tabs>
        <w:spacing w:after="0" w:line="276" w:lineRule="auto"/>
        <w:jc w:val="both"/>
        <w:rPr>
          <w:rFonts w:ascii="Verdana" w:eastAsia="Century Gothic" w:hAnsi="Verdana" w:cs="Century Gothic"/>
          <w:color w:val="000000" w:themeColor="text1"/>
          <w:lang w:val="es-ES"/>
        </w:rPr>
      </w:pPr>
    </w:p>
    <w:p w14:paraId="01398F0E" w14:textId="77777777" w:rsidR="00FE7B6C" w:rsidRDefault="00FE7B6C" w:rsidP="00FE7B6C">
      <w:pPr>
        <w:spacing w:after="140" w:line="276" w:lineRule="auto"/>
        <w:jc w:val="both"/>
        <w:rPr>
          <w:rFonts w:ascii="Verdana" w:eastAsia="Century Gothic" w:hAnsi="Verdana" w:cs="Century Gothic"/>
          <w:color w:val="000000" w:themeColor="text1"/>
          <w:lang w:val="es-ES"/>
        </w:rPr>
      </w:pPr>
      <w:r w:rsidRPr="00624D18">
        <w:rPr>
          <w:rFonts w:ascii="Verdana" w:eastAsia="Century Gothic" w:hAnsi="Verdana" w:cs="Century Gothic"/>
          <w:color w:val="000000" w:themeColor="text1"/>
          <w:lang w:val="es-ES"/>
        </w:rPr>
        <w:lastRenderedPageBreak/>
        <w:t xml:space="preserve">De acuerdo con el contenido de su solicitud, esta Agencia resolverá los siguientes problemas jurídicos: </w:t>
      </w:r>
    </w:p>
    <w:p w14:paraId="1831B659" w14:textId="77777777" w:rsidR="00FE7B6C" w:rsidRPr="00624D18" w:rsidRDefault="00FE7B6C" w:rsidP="00FE7B6C">
      <w:pPr>
        <w:spacing w:after="140" w:line="276" w:lineRule="auto"/>
        <w:jc w:val="both"/>
        <w:rPr>
          <w:rFonts w:ascii="Verdana" w:eastAsia="Calibri" w:hAnsi="Verdana" w:cs="Arial"/>
          <w:i/>
        </w:rPr>
      </w:pPr>
      <w:r>
        <w:rPr>
          <w:rFonts w:ascii="Verdana" w:eastAsia="Century Gothic" w:hAnsi="Verdana" w:cs="Century Gothic"/>
          <w:color w:val="000000" w:themeColor="text1"/>
          <w:lang w:val="es-ES"/>
        </w:rPr>
        <w:t xml:space="preserve">i) ¿cuál es el alcance del deber de las Entidades Estatales de requerir la subsanación de las ofertas y qué grado de especificidad debe tener ese requerimiento?; </w:t>
      </w: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xml:space="preserve">) ¿el traslado de las observaciones formuladas por un oferente sobre la oferta de otro sustituye el requerimiento de subsanación, y puede la Entidad modificar el informe de evaluación con base en dichas observaciones?; </w:t>
      </w:r>
      <w:proofErr w:type="spellStart"/>
      <w:r>
        <w:rPr>
          <w:rFonts w:ascii="Verdana" w:eastAsia="Century Gothic" w:hAnsi="Verdana" w:cs="Century Gothic"/>
          <w:color w:val="000000" w:themeColor="text1"/>
          <w:lang w:val="es-ES"/>
        </w:rPr>
        <w:t>iii</w:t>
      </w:r>
      <w:proofErr w:type="spellEnd"/>
      <w:r>
        <w:rPr>
          <w:rFonts w:ascii="Verdana" w:eastAsia="Century Gothic" w:hAnsi="Verdana" w:cs="Century Gothic"/>
          <w:color w:val="000000" w:themeColor="text1"/>
          <w:lang w:val="es-ES"/>
        </w:rPr>
        <w:t xml:space="preserve">) ¿hasta qué momento pueden aportarse documentos que acrediten hechos anteriores al cierre del proceso?; </w:t>
      </w:r>
      <w:proofErr w:type="spellStart"/>
      <w:r>
        <w:rPr>
          <w:rFonts w:ascii="Verdana" w:eastAsia="Century Gothic" w:hAnsi="Verdana" w:cs="Century Gothic"/>
          <w:color w:val="000000" w:themeColor="text1"/>
          <w:lang w:val="es-ES"/>
        </w:rPr>
        <w:t>iv</w:t>
      </w:r>
      <w:proofErr w:type="spellEnd"/>
      <w:r>
        <w:rPr>
          <w:rFonts w:ascii="Verdana" w:eastAsia="Century Gothic" w:hAnsi="Verdana" w:cs="Century Gothic"/>
          <w:color w:val="000000" w:themeColor="text1"/>
          <w:lang w:val="es-ES"/>
        </w:rPr>
        <w:t>) ¿cómo se acredita la autorización del órgano social competente cuando el representante legal tiene limitaciones, qué valor probatorio tienen las actas de los órganos de dirección de las personas jurídicas de derecho privado y cuál es la competencia de la Entidad Estatal para cuestionar el quórum o la validez de sus decisiones?; y v) ¿cuándo procede la declaratoria de desierta de un proceso de selección?</w:t>
      </w:r>
    </w:p>
    <w:p w14:paraId="462D38E4" w14:textId="77777777" w:rsidR="00FE7B6C" w:rsidRPr="00270E87" w:rsidRDefault="00FE7B6C" w:rsidP="00FE7B6C">
      <w:pPr>
        <w:pStyle w:val="ListParagraph"/>
        <w:numPr>
          <w:ilvl w:val="0"/>
          <w:numId w:val="18"/>
        </w:numPr>
        <w:tabs>
          <w:tab w:val="left" w:pos="142"/>
          <w:tab w:val="left" w:pos="284"/>
        </w:tabs>
        <w:spacing w:after="0" w:line="276" w:lineRule="auto"/>
        <w:ind w:left="709"/>
        <w:jc w:val="both"/>
        <w:rPr>
          <w:rFonts w:ascii="Verdana" w:eastAsia="Century Gothic" w:hAnsi="Verdana" w:cs="Century Gothic"/>
          <w:b/>
          <w:color w:val="000000" w:themeColor="text1"/>
        </w:rPr>
      </w:pPr>
      <w:r w:rsidRPr="00270E87">
        <w:rPr>
          <w:rFonts w:ascii="Verdana" w:eastAsia="Century Gothic" w:hAnsi="Verdana" w:cs="Century Gothic"/>
          <w:b/>
          <w:bCs/>
          <w:color w:val="000000" w:themeColor="text1"/>
        </w:rPr>
        <w:t>Respuesta:</w:t>
      </w:r>
    </w:p>
    <w:p w14:paraId="4FEC6FE3" w14:textId="77777777" w:rsidR="00FE7B6C" w:rsidRPr="00270E87" w:rsidRDefault="00FE7B6C" w:rsidP="00FE7B6C">
      <w:pPr>
        <w:spacing w:after="0" w:line="276" w:lineRule="auto"/>
        <w:jc w:val="both"/>
        <w:rPr>
          <w:rFonts w:ascii="Verdana" w:eastAsia="Calibri" w:hAnsi="Verdana" w:cs="Arial"/>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5456" w:rsidRPr="00270E87" w14:paraId="0DCF06AC" w14:textId="77777777">
        <w:trPr>
          <w:trHeight w:val="300"/>
        </w:trPr>
        <w:tc>
          <w:tcPr>
            <w:tcW w:w="8828" w:type="dxa"/>
          </w:tcPr>
          <w:p w14:paraId="0452862F" w14:textId="77777777" w:rsidR="004E5456" w:rsidRDefault="004E5456">
            <w:pPr>
              <w:spacing w:before="120" w:after="120" w:line="276" w:lineRule="auto"/>
              <w:jc w:val="both"/>
              <w:rPr>
                <w:rFonts w:ascii="Verdana" w:eastAsia="Times New Roman" w:hAnsi="Verdana" w:cs="Arial"/>
                <w:color w:val="000000" w:themeColor="text1"/>
                <w:lang w:val="es-ES"/>
              </w:rPr>
            </w:pPr>
            <w:r>
              <w:rPr>
                <w:rFonts w:ascii="Verdana" w:hAnsi="Verdana" w:cs="Arial"/>
                <w:bCs/>
                <w:color w:val="000000" w:themeColor="text1"/>
                <w:lang w:val="es-ES"/>
              </w:rPr>
              <w:t>i. De conformidad con la redacción literal del parágrafo 1 del artículo 5 de la Ley 1150 de 2007, modificado por el artículo 5 de la Ley 1882 de 2018, los requisitos de la oferta que no afecten la asignación de puntaje “deberán ser solicitados por las entidades estatales”. La subsanación es, entonces, un deber de la Entidad y no una facultad discrecional. En consecuencia, la entidad no puede rechazar una oferta por la ausencia o deficiencia de un requisito habilitante sin haber requerido previamente al proponente para que lo subsane.</w:t>
            </w:r>
          </w:p>
          <w:p w14:paraId="6CF26F05" w14:textId="02E2F978" w:rsidR="004E5456" w:rsidRDefault="004E5456">
            <w:pPr>
              <w:spacing w:before="120" w:after="120" w:line="276" w:lineRule="auto"/>
              <w:ind w:firstLine="744"/>
              <w:jc w:val="both"/>
              <w:rPr>
                <w:rFonts w:ascii="Verdana" w:hAnsi="Verdana" w:cs="Arial"/>
                <w:bCs/>
                <w:color w:val="000000" w:themeColor="text1"/>
                <w:lang w:val="es-ES"/>
              </w:rPr>
            </w:pPr>
            <w:r>
              <w:rPr>
                <w:rFonts w:ascii="Verdana" w:hAnsi="Verdana" w:cs="Arial"/>
                <w:bCs/>
                <w:color w:val="000000" w:themeColor="text1"/>
                <w:lang w:val="es-ES"/>
              </w:rPr>
              <w:t>Como el rechazo solo procede cuando el proponente no entrega “la información y la documentación solicitada por la entidad estatal”, el requerimiento debe ser claro, expreso y concreto: debe identificar el requisito, la deficiencia advertida, el documento o la información que se echa de menos y el término para a</w:t>
            </w:r>
            <w:r w:rsidRPr="00E87A8A">
              <w:rPr>
                <w:rFonts w:ascii="Verdana" w:hAnsi="Verdana" w:cs="Arial"/>
                <w:bCs/>
                <w:color w:val="000000" w:themeColor="text1"/>
                <w:lang w:val="es-ES"/>
              </w:rPr>
              <w:t xml:space="preserve">portarla. </w:t>
            </w:r>
            <w:r w:rsidRPr="00E374A0">
              <w:rPr>
                <w:rFonts w:ascii="Verdana" w:hAnsi="Verdana" w:cs="Arial"/>
                <w:bCs/>
                <w:color w:val="000000" w:themeColor="text1"/>
                <w:lang w:val="es-ES"/>
              </w:rPr>
              <w:t>El proponente debe atender lo que se le pide y, abierta la etapa de subsanación con el requerimiento, puede corregir dentro del término legal otros aspectos de su oferta que no otorguen puntaje, sin que ello releve a la Entidad de requerir de forma específica cada deficiencia antes de rechazar.</w:t>
            </w:r>
            <w:r w:rsidRPr="00E87A8A">
              <w:rPr>
                <w:rFonts w:ascii="Verdana" w:hAnsi="Verdana" w:cs="Arial"/>
                <w:bCs/>
                <w:color w:val="000000" w:themeColor="text1"/>
                <w:lang w:val="es-ES"/>
              </w:rPr>
              <w:t xml:space="preserve"> Sin</w:t>
            </w:r>
            <w:r>
              <w:rPr>
                <w:rFonts w:ascii="Verdana" w:hAnsi="Verdana" w:cs="Arial"/>
                <w:bCs/>
                <w:color w:val="000000" w:themeColor="text1"/>
                <w:lang w:val="es-ES"/>
              </w:rPr>
              <w:t xml:space="preserve"> embargo, la carga de identificar las deficiencias recae en la Entidad, que no puede fundar el rechazo en aspectos no incluidos en el </w:t>
            </w:r>
            <w:r>
              <w:rPr>
                <w:rFonts w:ascii="Verdana" w:hAnsi="Verdana" w:cs="Arial"/>
                <w:bCs/>
                <w:color w:val="000000" w:themeColor="text1"/>
                <w:lang w:val="es-ES"/>
              </w:rPr>
              <w:lastRenderedPageBreak/>
              <w:t>requerimiento o respecto de los cuales no otorgó la oportunidad de subsanar. Si con posterioridad advierte una deficiencia nueva, debe requerirla de manera específica, otorgando un plazo razonable para atenderla.</w:t>
            </w:r>
          </w:p>
          <w:p w14:paraId="2B9A0AA1" w14:textId="77777777" w:rsidR="004E5456" w:rsidRDefault="004E5456">
            <w:pPr>
              <w:spacing w:before="120" w:after="120" w:line="276" w:lineRule="auto"/>
              <w:jc w:val="both"/>
              <w:rPr>
                <w:rFonts w:ascii="Verdana" w:eastAsia="Times New Roman" w:hAnsi="Verdana" w:cs="Arial"/>
                <w:color w:val="000000" w:themeColor="text1"/>
                <w:lang w:val="es-ES"/>
              </w:rPr>
            </w:pPr>
            <w:proofErr w:type="spellStart"/>
            <w:r>
              <w:rPr>
                <w:rFonts w:ascii="Verdana" w:hAnsi="Verdana" w:cs="Arial"/>
                <w:bCs/>
                <w:color w:val="000000" w:themeColor="text1"/>
                <w:lang w:val="es-ES"/>
              </w:rPr>
              <w:t>ii</w:t>
            </w:r>
            <w:proofErr w:type="spellEnd"/>
            <w:r>
              <w:rPr>
                <w:rFonts w:ascii="Verdana" w:hAnsi="Verdana" w:cs="Arial"/>
                <w:bCs/>
                <w:color w:val="000000" w:themeColor="text1"/>
                <w:lang w:val="es-ES"/>
              </w:rPr>
              <w:t xml:space="preserve">. El traslado de las observaciones que un oferente formula sobre la oferta de otro materializa los principios de publicidad y contradicción, pero no equivale, por sí mismo, al requerimiento de subsanación que debe cumplir la entidad. Esto se debe a que las observaciones son manifestaciones de un tercero interesado, mientras que el requerimiento es una actuación que la Entidad realiza en cumplimiento de un deber legal, en la que esta, previo análisis, determina que existe una deficiencia y solicita corregirla. En consecuencia, solo cuando la Entidad señala que acoge la observación, identifica expresamente la deficiencia y solicita al proponente subsanarla dentro de un término determinado, podría entenderse surtido el requerimiento; el solo traslado de la observación sin indicar su postura o requerir la subsanación no será suficiente para entender cumplido el deber que la ley le atribuye. </w:t>
            </w:r>
          </w:p>
          <w:p w14:paraId="4F96870C" w14:textId="77777777" w:rsidR="004E5456" w:rsidRDefault="004E5456">
            <w:pPr>
              <w:spacing w:before="120" w:after="120" w:line="276" w:lineRule="auto"/>
              <w:ind w:firstLine="744"/>
              <w:jc w:val="both"/>
              <w:rPr>
                <w:rFonts w:ascii="Verdana" w:hAnsi="Verdana" w:cs="Arial"/>
                <w:bCs/>
                <w:color w:val="000000" w:themeColor="text1"/>
                <w:lang w:val="es-ES"/>
              </w:rPr>
            </w:pPr>
            <w:r>
              <w:rPr>
                <w:rFonts w:ascii="Verdana" w:hAnsi="Verdana" w:cs="Arial"/>
                <w:bCs/>
                <w:color w:val="000000" w:themeColor="text1"/>
                <w:lang w:val="es-ES"/>
              </w:rPr>
              <w:t>Por su parte, la Entidad debe corregir el informe de evaluación cuando las observaciones evidencian un error, porque debe ajustarse a las reglas del pliego de condiciones. Sin embargo, si la modificación consiste en advertir la ausencia o deficiencia de un requisito habilitante que no fue requerido, la Entidad debe, antes de rechazar la oferta, requerir al proponente para que subsane. Al respecto, el Manual para determinar y verificar los requisitos habilitantes de esta Agencia señala que en tal evento la Entidad “podrá requerir al proponente para que lo haga otorgando un plazo igual al término del traslado”.</w:t>
            </w:r>
          </w:p>
          <w:p w14:paraId="5CC7B8EA" w14:textId="77777777" w:rsidR="004E5456" w:rsidRDefault="004E5456">
            <w:pPr>
              <w:spacing w:before="120" w:after="120" w:line="276" w:lineRule="auto"/>
              <w:jc w:val="both"/>
              <w:rPr>
                <w:rFonts w:ascii="Verdana" w:eastAsia="Times New Roman" w:hAnsi="Verdana" w:cs="Arial"/>
                <w:color w:val="000000" w:themeColor="text1"/>
                <w:lang w:val="es-ES"/>
              </w:rPr>
            </w:pPr>
            <w:proofErr w:type="spellStart"/>
            <w:r>
              <w:rPr>
                <w:rFonts w:ascii="Verdana" w:hAnsi="Verdana" w:cs="Arial"/>
                <w:bCs/>
                <w:color w:val="000000" w:themeColor="text1"/>
                <w:lang w:val="es-ES"/>
              </w:rPr>
              <w:t>iii</w:t>
            </w:r>
            <w:proofErr w:type="spellEnd"/>
            <w:r>
              <w:rPr>
                <w:rFonts w:ascii="Verdana" w:hAnsi="Verdana" w:cs="Arial"/>
                <w:bCs/>
                <w:color w:val="000000" w:themeColor="text1"/>
                <w:lang w:val="es-ES"/>
              </w:rPr>
              <w:t>. La regla general es que los documentos para subsanar deben aportarse hasta el término de traslado del informe de evaluación que corresponda a la modalidad de selección, salvo lo previsto para la mínima cuantía y la subasta. Vencido ese término, las observaciones al informe definitivo no constituyen una nueva oportunidad para completar, adicionar, modificar o mejorar la oferta. Con todo, la Entidad puede valorar documentos que se limiten a aclarar o confirmar lo que ya consta en la oferta o en lo aportado oportunamente, sin introducir elementos nuevos, así como los documentos aportados dentro del término que ella misma otorgue cuando formule un requerimiento posterior. En todo caso, lo que debe ser anterior al cierre es el hecho que se acredita, no necesariamente el documento que lo prueba.</w:t>
            </w:r>
          </w:p>
          <w:p w14:paraId="750DD5E0" w14:textId="77777777" w:rsidR="004E5456" w:rsidRDefault="004E5456">
            <w:pPr>
              <w:spacing w:before="120" w:after="120" w:line="276" w:lineRule="auto"/>
              <w:jc w:val="both"/>
              <w:rPr>
                <w:rFonts w:ascii="Verdana" w:eastAsia="Times New Roman" w:hAnsi="Verdana" w:cs="Arial"/>
                <w:color w:val="000000" w:themeColor="text1"/>
                <w:lang w:val="es-ES"/>
              </w:rPr>
            </w:pPr>
            <w:proofErr w:type="spellStart"/>
            <w:r>
              <w:rPr>
                <w:rFonts w:ascii="Verdana" w:hAnsi="Verdana" w:cs="Arial"/>
                <w:bCs/>
                <w:color w:val="000000" w:themeColor="text1"/>
                <w:lang w:val="es-ES"/>
              </w:rPr>
              <w:lastRenderedPageBreak/>
              <w:t>iv</w:t>
            </w:r>
            <w:proofErr w:type="spellEnd"/>
            <w:r>
              <w:rPr>
                <w:rFonts w:ascii="Verdana" w:hAnsi="Verdana" w:cs="Arial"/>
                <w:bCs/>
                <w:color w:val="000000" w:themeColor="text1"/>
                <w:lang w:val="es-ES"/>
              </w:rPr>
              <w:t>. Cuando el representante legal tiene limitaciones para presentar ofertas o suscribir contratos, la capacidad se acredita con el certificado de existencia y representación legal, que da cuenta de las facultades y limitaciones inscritas, y con el acta del órgano social competente en la que conste la autorización. La Entidad debe verificar, con base en esos documentos y en lo previsto en el pliego de condiciones, que: a) el órgano que autoriza es el competente; b) la autorización comprende la presentación de la oferta o la celebración del contrato de que se trate, incluida su cuantía; c) la decisión es anterior al cierre del proceso; y d) el acta está suscrita por quienes corresponde. Los estatutos solo resultan necesarios cuando las limitaciones o el órgano competente no consten en el certificado. Lo anterior supone que la Entidad no puede exigir documentos no previstos en la ley ni en el pliego, para verificar la autorización, como es el caso de los soportes de convocatoria, quórum o votación; la ausencia de estos documentos adicionales que no tienen fundamento legal ni fueron incluidos en los documentos del proceso no constituye causal de rechazo.</w:t>
            </w:r>
          </w:p>
          <w:p w14:paraId="2ED2EFA8" w14:textId="77777777" w:rsidR="004E5456" w:rsidRDefault="004E5456">
            <w:pPr>
              <w:spacing w:before="120" w:after="120" w:line="276" w:lineRule="auto"/>
              <w:ind w:firstLine="744"/>
              <w:jc w:val="both"/>
              <w:rPr>
                <w:rFonts w:ascii="Verdana" w:hAnsi="Verdana" w:cs="Arial"/>
                <w:bCs/>
                <w:color w:val="000000" w:themeColor="text1"/>
                <w:lang w:val="es-ES"/>
              </w:rPr>
            </w:pPr>
            <w:r>
              <w:rPr>
                <w:rFonts w:ascii="Verdana" w:hAnsi="Verdana" w:cs="Arial"/>
                <w:bCs/>
                <w:color w:val="000000" w:themeColor="text1"/>
                <w:lang w:val="es-ES"/>
              </w:rPr>
              <w:t xml:space="preserve">De acuerdo con el artículo 189 del Código de Comercio, la copia del acta autorizada por el secretario o por un representante de la persona jurídica es “prueba suficiente de los hechos que consten en ellas, mientras no se demuestre la falsedad de la copia o de las actas”. Esta regla, junto con la presunción de autenticidad del artículo 244 del Código General del Proceso y el principio de buena fe del artículo 83 de la Constitución, implica que la constancia de la verificación del quórum contenida en un acta firmada es prueba suficiente de ese hecho, mientras su falsedad no sea demostrada. En este sentido, la Entidad no tiene competencia para declarar la nulidad o inexistencia de las decisiones de los órganos sociales, pues esa competencia corresponde a los jueces y, en los casos previstos en la ley, a la Superintendencia de Sociedades. Si advierte una posible falsedad, debe ponerla en conocimiento de las autoridades competentes, sin perjuicio de las reglas que establezca en el pliego de condiciones para el manejo de información inexacta. </w:t>
            </w:r>
          </w:p>
          <w:p w14:paraId="6D40CE7B" w14:textId="77777777" w:rsidR="004E5456" w:rsidRDefault="004E5456">
            <w:pPr>
              <w:spacing w:before="120" w:after="120" w:line="276" w:lineRule="auto"/>
              <w:jc w:val="both"/>
              <w:rPr>
                <w:rFonts w:ascii="Verdana" w:hAnsi="Verdana" w:cs="Arial"/>
                <w:bCs/>
                <w:color w:val="000000" w:themeColor="text1"/>
                <w:lang w:val="es-ES"/>
              </w:rPr>
            </w:pPr>
            <w:r>
              <w:rPr>
                <w:rFonts w:ascii="Verdana" w:hAnsi="Verdana" w:cs="Arial"/>
                <w:bCs/>
                <w:color w:val="000000" w:themeColor="text1"/>
                <w:lang w:val="es-ES"/>
              </w:rPr>
              <w:t xml:space="preserve">v. Según el numeral 18 del artículo 25 de la Ley 80 de 1993, la declaratoria de desierta “únicamente procederá por motivos o causas que impidan la escogencia objetiva” y debe adoptarse mediante acto administrativo que exprese, en forma detallada, las razones de la decisión. </w:t>
            </w:r>
            <w:r>
              <w:rPr>
                <w:rFonts w:ascii="Verdana" w:hAnsi="Verdana" w:cs="Arial"/>
              </w:rPr>
              <w:t xml:space="preserve">Esta Agencia ha </w:t>
            </w:r>
            <w:r>
              <w:rPr>
                <w:rFonts w:ascii="Verdana" w:hAnsi="Verdana" w:cs="Arial"/>
              </w:rPr>
              <w:lastRenderedPageBreak/>
              <w:t>señalado que esta norma, a falta de regulación especial, también se aplica a procesos distintos de la licitación, como la mínima cuantía, y que el acto que declara desierto el proceso debe señalar los hechos que dan lugar a la decisión y mostrar de qué modo esos hechos impiden la selección objetiva del contratista, como ocurre cuando no se presentan ofertas o ninguna cumple los requisitos del pliego de condiciones.</w:t>
            </w:r>
          </w:p>
          <w:p w14:paraId="6A3E2557" w14:textId="77777777" w:rsidR="004E5456" w:rsidRDefault="004E5456">
            <w:pPr>
              <w:spacing w:after="120" w:line="276" w:lineRule="auto"/>
              <w:ind w:firstLine="709"/>
              <w:jc w:val="both"/>
              <w:rPr>
                <w:rFonts w:ascii="Verdana" w:hAnsi="Verdana" w:cs="Arial"/>
              </w:rPr>
            </w:pPr>
            <w:r>
              <w:rPr>
                <w:rFonts w:ascii="Verdana" w:hAnsi="Verdana" w:cs="Arial"/>
              </w:rPr>
              <w:t>La jurisprudencia del Consejo de Estado ha precisado que la facultad de adjudicar o no un contrato estatal es reglada, por lo que “no cualquier hecho puede conducir a la declaratoria de desierta de un proceso de selección”, sino que es necesario que impida la selección objetiva de la propuesta dentro del marco dispuesto por el ordenamiento jurídico</w:t>
            </w:r>
            <w:r>
              <w:rPr>
                <w:rStyle w:val="FootnoteReference"/>
                <w:rFonts w:ascii="Verdana" w:hAnsi="Verdana" w:cs="Arial"/>
              </w:rPr>
              <w:footnoteReference w:id="2"/>
            </w:r>
            <w:r>
              <w:rPr>
                <w:rFonts w:ascii="Verdana" w:hAnsi="Verdana" w:cs="Arial"/>
              </w:rPr>
              <w:t>. Asimismo, ha indicado que la declaratoria debe estar suficientemente motivada, fundarse únicamente en motivos o causas que impidan la escogencia objetiva, y que la Entidad no está facultada para declarar desierta una selección contractual con el objeto de salvar o enmendar un error cometido por ella</w:t>
            </w:r>
            <w:r>
              <w:t xml:space="preserve"> </w:t>
            </w:r>
            <w:r>
              <w:rPr>
                <w:rFonts w:ascii="Verdana" w:hAnsi="Verdana" w:cs="Arial"/>
              </w:rPr>
              <w:t>en la planeación del procedimiento de selección del contratista</w:t>
            </w:r>
            <w:r>
              <w:rPr>
                <w:rStyle w:val="FootnoteReference"/>
                <w:rFonts w:ascii="Verdana" w:hAnsi="Verdana" w:cs="Arial"/>
              </w:rPr>
              <w:footnoteReference w:id="3"/>
            </w:r>
            <w:r>
              <w:rPr>
                <w:rFonts w:ascii="Verdana" w:hAnsi="Verdana" w:cs="Arial"/>
              </w:rPr>
              <w:t>. Más recientemente, reiteró que “no se podrá declarar frustrado el proceso de selección por errores propios de la Administración”, de manera que la declaratoria solo procede cuando motivos o causas externos, y no imputables a la Administración, impiden la selección objetiva</w:t>
            </w:r>
            <w:r>
              <w:rPr>
                <w:rStyle w:val="FootnoteReference"/>
                <w:rFonts w:ascii="Verdana" w:hAnsi="Verdana" w:cs="Arial"/>
              </w:rPr>
              <w:footnoteReference w:id="4"/>
            </w:r>
            <w:r>
              <w:rPr>
                <w:rFonts w:ascii="Verdana" w:hAnsi="Verdana" w:cs="Arial"/>
              </w:rPr>
              <w:t>.</w:t>
            </w:r>
          </w:p>
          <w:p w14:paraId="6D2B6095" w14:textId="77777777" w:rsidR="004E5456" w:rsidRDefault="004E5456">
            <w:pPr>
              <w:spacing w:after="120" w:line="276" w:lineRule="auto"/>
              <w:ind w:firstLine="709"/>
              <w:jc w:val="both"/>
              <w:rPr>
                <w:rFonts w:ascii="Verdana" w:hAnsi="Verdana" w:cs="Arial"/>
                <w:bCs/>
                <w:color w:val="000000" w:themeColor="text1"/>
                <w:lang w:val="es-ES"/>
              </w:rPr>
            </w:pPr>
            <w:r>
              <w:rPr>
                <w:rFonts w:ascii="Verdana" w:hAnsi="Verdana" w:cs="Arial"/>
                <w:bCs/>
                <w:color w:val="000000" w:themeColor="text1"/>
                <w:lang w:val="es-ES"/>
              </w:rPr>
              <w:t>De este modo, si existe una oferta que cumple los requisitos del pliego, la Entidad debe adjudicar, incluso cuando sea la única, conforme al artículo 2.2.1.1.2.2.6 del Decreto 1082 de 2015. Una causa formal o documental subsanable, que no fue requerida, o un error de la propia Administración no son motivos que impidan la selección objetiva y, en consecuencia, no justifican, por sí mismos, la declaratoria de desierta.</w:t>
            </w:r>
          </w:p>
          <w:p w14:paraId="34251623" w14:textId="77777777" w:rsidR="004E5456" w:rsidRPr="00C92306" w:rsidRDefault="004E5456">
            <w:pPr>
              <w:spacing w:after="120" w:line="276" w:lineRule="auto"/>
              <w:ind w:firstLine="709"/>
              <w:jc w:val="both"/>
              <w:rPr>
                <w:rFonts w:ascii="Verdana" w:hAnsi="Verdana" w:cs="Arial"/>
              </w:rPr>
            </w:pPr>
            <w:r>
              <w:rPr>
                <w:rFonts w:ascii="Verdana" w:hAnsi="Verdana" w:cs="Arial"/>
                <w:color w:val="000000" w:themeColor="text1"/>
                <w:lang w:val="es-ES"/>
              </w:rPr>
              <w:lastRenderedPageBreak/>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5C06B408" w14:textId="77777777" w:rsidR="00FE7B6C" w:rsidRPr="00270E87" w:rsidRDefault="00FE7B6C" w:rsidP="00FE7B6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835886D" w14:textId="77777777" w:rsidR="00FE7B6C" w:rsidRPr="00270E87" w:rsidRDefault="00FE7B6C" w:rsidP="00FE7B6C">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270E87">
        <w:rPr>
          <w:rFonts w:ascii="Verdana" w:eastAsia="Century Gothic" w:hAnsi="Verdana" w:cs="Century Gothic"/>
          <w:b/>
          <w:color w:val="000000" w:themeColor="text1"/>
        </w:rPr>
        <w:t>Razones de la respuesta:</w:t>
      </w:r>
    </w:p>
    <w:p w14:paraId="08BF7832" w14:textId="77777777" w:rsidR="00FE7B6C" w:rsidRPr="00270E87" w:rsidRDefault="00FE7B6C" w:rsidP="00FE7B6C">
      <w:pPr>
        <w:spacing w:after="0" w:line="276" w:lineRule="auto"/>
        <w:jc w:val="both"/>
        <w:rPr>
          <w:rFonts w:ascii="Verdana" w:eastAsia="Calibri" w:hAnsi="Verdana" w:cs="Arial"/>
          <w:color w:val="000000" w:themeColor="text1"/>
          <w:lang w:val="es-ES"/>
        </w:rPr>
      </w:pPr>
    </w:p>
    <w:p w14:paraId="3472CB4A" w14:textId="77777777" w:rsidR="00FE7B6C" w:rsidRPr="00886F14" w:rsidRDefault="00FE7B6C" w:rsidP="00FE7B6C">
      <w:pPr>
        <w:spacing w:after="120" w:line="276" w:lineRule="auto"/>
        <w:jc w:val="both"/>
        <w:rPr>
          <w:rFonts w:ascii="Verdana" w:hAnsi="Verdana" w:cs="Arial"/>
          <w:color w:val="000000" w:themeColor="text1"/>
          <w:lang w:val="es-ES_tradnl"/>
        </w:rPr>
      </w:pPr>
      <w:r w:rsidRPr="00270E87">
        <w:rPr>
          <w:rFonts w:ascii="Verdana" w:eastAsia="Verdana" w:hAnsi="Verdana" w:cs="Verdana"/>
          <w:lang w:val="es-ES"/>
        </w:rPr>
        <w:t xml:space="preserve">i. </w:t>
      </w: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2EDA768" w14:textId="77777777" w:rsidR="00FE7B6C" w:rsidRPr="00886F14" w:rsidRDefault="00FE7B6C" w:rsidP="00FE7B6C">
      <w:pPr>
        <w:spacing w:after="120" w:line="276" w:lineRule="auto"/>
        <w:ind w:firstLine="708"/>
        <w:jc w:val="both"/>
        <w:rPr>
          <w:rFonts w:ascii="Verdana" w:hAnsi="Verdana" w:cs="Arial"/>
          <w:color w:val="000000" w:themeColor="text1"/>
          <w:lang w:val="es-ES"/>
        </w:rPr>
      </w:pPr>
      <w:r w:rsidRPr="06F3541F">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acrediten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623C0C3B" w14:textId="77777777" w:rsidR="00FE7B6C" w:rsidRPr="00F103A3" w:rsidRDefault="00FE7B6C" w:rsidP="00FE7B6C">
      <w:pPr>
        <w:spacing w:after="120" w:line="276" w:lineRule="auto"/>
        <w:ind w:firstLine="709"/>
        <w:jc w:val="both"/>
        <w:rPr>
          <w:rFonts w:ascii="Verdana" w:hAnsi="Verdana" w:cs="Arial"/>
          <w:color w:val="000000" w:themeColor="text1"/>
          <w:lang w:val="es-ES_tradnl"/>
        </w:rPr>
      </w:pPr>
      <w:r>
        <w:rPr>
          <w:rFonts w:ascii="Verdana" w:hAnsi="Verdana" w:cs="Arial"/>
        </w:rPr>
        <w:t xml:space="preserve">Por otra parte, la distinción entre dichos criterios tiene una consecuencia directa en materia de subsanabilidad. Al respecto, </w:t>
      </w:r>
      <w:r>
        <w:rPr>
          <w:rFonts w:ascii="Verdana" w:eastAsia="Calibri" w:hAnsi="Verdana" w:cs="Arial"/>
          <w:lang w:val="es-ES"/>
        </w:rPr>
        <w:t>e</w:t>
      </w:r>
      <w:r w:rsidRPr="489EBB79">
        <w:rPr>
          <w:rFonts w:ascii="Verdana" w:eastAsia="Calibri" w:hAnsi="Verdana" w:cs="Arial"/>
          <w:lang w:val="es-ES"/>
        </w:rPr>
        <w:t xml:space="preserve">sta Subdirección se ha pronunciado en diversas oportunidades acerca del alcance de la regla contenida en el artículo 5 de la Ley 1150 de 2007. Al respecto, la postura que se reitera </w:t>
      </w:r>
      <w:r w:rsidRPr="489EBB79">
        <w:rPr>
          <w:rFonts w:ascii="Verdana" w:eastAsia="Calibri" w:hAnsi="Verdana" w:cs="Arial"/>
          <w:lang w:val="es-ES"/>
        </w:rPr>
        <w:lastRenderedPageBreak/>
        <w:t xml:space="preserve">en el presente concepto es la siguiente: por regla general, i) la falta de entrega o </w:t>
      </w:r>
      <w:proofErr w:type="spellStart"/>
      <w:r w:rsidRPr="489EBB79">
        <w:rPr>
          <w:rFonts w:ascii="Verdana" w:eastAsia="Calibri" w:hAnsi="Verdana" w:cs="Arial"/>
          <w:lang w:val="es-ES"/>
        </w:rPr>
        <w:t>ii</w:t>
      </w:r>
      <w:proofErr w:type="spellEnd"/>
      <w:r w:rsidRPr="489EBB79">
        <w:rPr>
          <w:rFonts w:ascii="Verdana" w:eastAsia="Calibri" w:hAnsi="Verdana" w:cs="Arial"/>
          <w:lang w:val="es-ES"/>
        </w:rPr>
        <w:t>) los defectos, de los requisitos habilitantes son subsanables. La excepción se encuentra en los casos, previstos en la ley, que limitan la subsanabilidad</w:t>
      </w:r>
      <w:r>
        <w:rPr>
          <w:rFonts w:ascii="Verdana" w:eastAsia="Calibri" w:hAnsi="Verdana" w:cs="Arial"/>
          <w:lang w:val="es-ES"/>
        </w:rPr>
        <w:t>;</w:t>
      </w:r>
      <w:r w:rsidRPr="489EBB79">
        <w:rPr>
          <w:rFonts w:ascii="Verdana" w:eastAsia="Calibri" w:hAnsi="Verdana" w:cs="Arial"/>
          <w:lang w:val="es-ES"/>
        </w:rPr>
        <w:t xml:space="preserve"> es decir, en la prohibición de permitir la entrega de la garantía de seriedad de la oferta que no fue aportada con la propuesta y </w:t>
      </w:r>
      <w:r>
        <w:rPr>
          <w:rFonts w:ascii="Verdana" w:eastAsia="Calibri" w:hAnsi="Verdana" w:cs="Arial"/>
          <w:lang w:val="es-ES"/>
        </w:rPr>
        <w:t>e</w:t>
      </w:r>
      <w:r w:rsidRPr="000E58E7">
        <w:rPr>
          <w:rFonts w:ascii="Verdana" w:eastAsia="Calibri" w:hAnsi="Verdana" w:cs="Arial"/>
        </w:rPr>
        <w:t>n la prohibición de acreditar</w:t>
      </w:r>
      <w:r w:rsidRPr="489EBB79">
        <w:rPr>
          <w:rFonts w:ascii="Verdana" w:eastAsia="Calibri" w:hAnsi="Verdana" w:cs="Arial"/>
          <w:lang w:val="es-ES"/>
        </w:rPr>
        <w:t xml:space="preserve"> circunstancias ocurridas con posterioridad al cierre del proceso. La posibilidad de enmendar, corregir o subsanar los errores en los que se incurre en los documentos contentivos de la oferta es un tema que ha tenido diferentes momentos o etapas en el ordenamiento jurídico colombiano. </w:t>
      </w:r>
    </w:p>
    <w:p w14:paraId="34AE3044"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En un </w:t>
      </w:r>
      <w:r w:rsidRPr="489EBB79">
        <w:rPr>
          <w:rFonts w:ascii="Verdana" w:eastAsia="Calibri" w:hAnsi="Verdana" w:cs="Arial"/>
          <w:i/>
          <w:iCs/>
          <w:lang w:val="es-ES"/>
        </w:rPr>
        <w:t>primer momento</w:t>
      </w:r>
      <w:r w:rsidRPr="489EBB79">
        <w:rPr>
          <w:rFonts w:ascii="Verdana" w:eastAsia="Calibri" w:hAnsi="Verdana" w:cs="Arial"/>
          <w:lang w:val="es-ES"/>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97E6BB6" w14:textId="77777777" w:rsidR="00FE7B6C" w:rsidRPr="000323B3" w:rsidRDefault="00FE7B6C" w:rsidP="00FE7B6C">
      <w:pPr>
        <w:spacing w:before="120" w:after="0" w:line="276" w:lineRule="auto"/>
        <w:ind w:firstLine="709"/>
        <w:jc w:val="both"/>
        <w:rPr>
          <w:rFonts w:ascii="Verdana" w:eastAsia="Calibri" w:hAnsi="Verdana" w:cs="Arial"/>
          <w:lang w:val="es-ES"/>
        </w:rPr>
      </w:pPr>
      <w:r w:rsidRPr="06F3541F">
        <w:rPr>
          <w:rFonts w:ascii="Verdana" w:eastAsia="Calibri" w:hAnsi="Verdana" w:cs="Arial"/>
          <w:lang w:val="es-ES"/>
        </w:rPr>
        <w:t xml:space="preserve">En un </w:t>
      </w:r>
      <w:r w:rsidRPr="06F3541F">
        <w:rPr>
          <w:rFonts w:ascii="Verdana" w:eastAsia="Calibri" w:hAnsi="Verdana" w:cs="Arial"/>
          <w:i/>
          <w:lang w:val="es-ES"/>
        </w:rPr>
        <w:t>segundo momento</w:t>
      </w:r>
      <w:r w:rsidRPr="06F3541F">
        <w:rPr>
          <w:rFonts w:ascii="Verdana" w:eastAsia="Calibri" w:hAnsi="Verdana" w:cs="Arial"/>
          <w:lang w:val="es-ES"/>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numeral 15 del artículo 25 de la Ley 80 de 1993 dispuso lo siguiente: </w:t>
      </w:r>
    </w:p>
    <w:p w14:paraId="21F6D1C7" w14:textId="77777777" w:rsidR="00FE7B6C" w:rsidRPr="000323B3" w:rsidRDefault="00FE7B6C" w:rsidP="00FE7B6C">
      <w:pPr>
        <w:spacing w:after="0" w:line="276" w:lineRule="auto"/>
        <w:ind w:firstLine="709"/>
        <w:jc w:val="both"/>
        <w:rPr>
          <w:rFonts w:ascii="Verdana" w:eastAsia="Calibri" w:hAnsi="Verdana" w:cs="Arial"/>
          <w:lang w:val="es-ES_tradnl"/>
        </w:rPr>
      </w:pPr>
    </w:p>
    <w:p w14:paraId="14DA7CAA" w14:textId="77777777" w:rsidR="00FE7B6C" w:rsidRPr="000323B3" w:rsidRDefault="00FE7B6C" w:rsidP="00FE7B6C">
      <w:pPr>
        <w:spacing w:after="0" w:line="240" w:lineRule="auto"/>
        <w:ind w:left="709" w:right="709"/>
        <w:jc w:val="both"/>
        <w:rPr>
          <w:rFonts w:ascii="Verdana" w:eastAsia="Calibri" w:hAnsi="Verdana" w:cs="Arial"/>
          <w:sz w:val="21"/>
          <w:szCs w:val="21"/>
          <w:lang w:val="es-ES_tradnl"/>
        </w:rPr>
      </w:pPr>
      <w:r w:rsidRPr="000323B3">
        <w:rPr>
          <w:rFonts w:ascii="Verdana" w:eastAsia="Calibri" w:hAnsi="Verdana"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CED302B" w14:textId="77777777" w:rsidR="00FE7B6C" w:rsidRPr="000323B3" w:rsidRDefault="00FE7B6C" w:rsidP="00FE7B6C">
      <w:pPr>
        <w:spacing w:after="0" w:line="240" w:lineRule="auto"/>
        <w:ind w:left="709" w:right="709"/>
        <w:jc w:val="both"/>
        <w:rPr>
          <w:rFonts w:ascii="Verdana" w:eastAsia="Calibri" w:hAnsi="Verdana" w:cs="Arial"/>
          <w:sz w:val="21"/>
          <w:szCs w:val="21"/>
          <w:lang w:val="es-ES_tradnl"/>
        </w:rPr>
      </w:pPr>
      <w:r w:rsidRPr="000323B3">
        <w:rPr>
          <w:rFonts w:ascii="Verdana" w:eastAsia="Calibri" w:hAnsi="Verdana"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525DB41E" w14:textId="77777777" w:rsidR="00FE7B6C" w:rsidRPr="000323B3" w:rsidRDefault="00FE7B6C" w:rsidP="00FE7B6C">
      <w:pPr>
        <w:spacing w:after="0" w:line="276" w:lineRule="auto"/>
        <w:ind w:firstLine="709"/>
        <w:jc w:val="both"/>
        <w:rPr>
          <w:rFonts w:ascii="Verdana" w:eastAsia="Calibri" w:hAnsi="Verdana" w:cs="Arial"/>
          <w:lang w:val="es-ES_tradnl"/>
        </w:rPr>
      </w:pPr>
    </w:p>
    <w:p w14:paraId="6FD3BC36" w14:textId="77777777" w:rsidR="00FE7B6C" w:rsidRPr="000323B3" w:rsidRDefault="00FE7B6C" w:rsidP="00FE7B6C">
      <w:pPr>
        <w:spacing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Bajo el amparo de esta norma, el régimen jurídico de subsanabilidad de las ofertas sufre un cambio fundamental, pues ya no era posible rechazar las ofertas por falta de requisitos o documentos que no fueran </w:t>
      </w:r>
      <w:r>
        <w:rPr>
          <w:rFonts w:ascii="Verdana" w:eastAsia="Calibri" w:hAnsi="Verdana" w:cs="Arial"/>
          <w:lang w:val="es-ES"/>
        </w:rPr>
        <w:t>“</w:t>
      </w:r>
      <w:r w:rsidRPr="489EBB79">
        <w:rPr>
          <w:rFonts w:ascii="Verdana" w:eastAsia="Calibri" w:hAnsi="Verdana" w:cs="Arial"/>
          <w:lang w:val="es-ES"/>
        </w:rPr>
        <w:t>necesarios para la comparación de propuestas</w:t>
      </w:r>
      <w:r>
        <w:rPr>
          <w:rFonts w:ascii="Verdana" w:eastAsia="Calibri" w:hAnsi="Verdana" w:cs="Arial"/>
          <w:lang w:val="es-ES"/>
        </w:rPr>
        <w:t>”</w:t>
      </w:r>
      <w:r w:rsidRPr="489EBB79">
        <w:rPr>
          <w:rFonts w:ascii="Verdana" w:eastAsia="Calibri" w:hAnsi="Verdana" w:cs="Arial"/>
          <w:lang w:val="es-ES"/>
        </w:rPr>
        <w:t xml:space="preserve">. De esta manera, la ley introdujo un primer criterio </w:t>
      </w:r>
      <w:r w:rsidRPr="489EBB79">
        <w:rPr>
          <w:rFonts w:ascii="Verdana" w:eastAsia="Calibri" w:hAnsi="Verdana" w:cs="Arial"/>
          <w:lang w:val="es-ES"/>
        </w:rPr>
        <w:lastRenderedPageBreak/>
        <w:t xml:space="preserve">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8E8513D" w14:textId="77777777" w:rsidR="00FE7B6C" w:rsidRPr="000323B3" w:rsidRDefault="00FE7B6C" w:rsidP="00FE7B6C">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Esta norma debía leerse en conjunto con otras de la Ley 80 de 1993, particularmente con el artículo 30.7</w:t>
      </w:r>
      <w:r w:rsidRPr="000323B3">
        <w:rPr>
          <w:rFonts w:ascii="Verdana" w:eastAsia="Calibri" w:hAnsi="Verdana" w:cs="Arial"/>
          <w:vertAlign w:val="superscript"/>
          <w:lang w:val="es-ES_tradnl"/>
        </w:rPr>
        <w:footnoteReference w:id="5"/>
      </w:r>
      <w:r w:rsidRPr="000323B3">
        <w:rPr>
          <w:rFonts w:ascii="Verdana" w:eastAsia="Calibri" w:hAnsi="Verdana" w:cs="Arial"/>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0323B3">
        <w:rPr>
          <w:rFonts w:ascii="Verdana" w:eastAsia="Calibri" w:hAnsi="Verdana" w:cs="Arial"/>
          <w:vertAlign w:val="superscript"/>
          <w:lang w:val="es-ES_tradnl"/>
        </w:rPr>
        <w:footnoteReference w:id="6"/>
      </w:r>
      <w:r w:rsidRPr="000323B3">
        <w:rPr>
          <w:rFonts w:ascii="Verdana" w:eastAsia="Calibri" w:hAnsi="Verdana" w:cs="Arial"/>
          <w:lang w:val="es-ES_tradnl"/>
        </w:rPr>
        <w:t xml:space="preserve">, que consagró el término de 5 días hábiles para que los oferentes presenten observaciones al informe de evaluación de las propuestas, sin que sea posible completar, adicionar, modificar o mejorar su oferta.  </w:t>
      </w:r>
    </w:p>
    <w:p w14:paraId="7381611B"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457741BE" w14:textId="77777777" w:rsidR="00FE7B6C" w:rsidRPr="000323B3" w:rsidRDefault="00FE7B6C" w:rsidP="00FE7B6C">
      <w:pPr>
        <w:spacing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En un </w:t>
      </w:r>
      <w:r w:rsidRPr="000323B3">
        <w:rPr>
          <w:rFonts w:ascii="Verdana" w:eastAsia="Calibri" w:hAnsi="Verdana" w:cs="Arial"/>
          <w:i/>
          <w:lang w:val="es-ES_tradnl"/>
        </w:rPr>
        <w:t>tercer momento</w:t>
      </w:r>
      <w:r w:rsidRPr="000323B3">
        <w:rPr>
          <w:rFonts w:ascii="Verdana" w:eastAsia="Calibri" w:hAnsi="Verdana" w:cs="Arial"/>
          <w:lang w:val="es-ES_tradnl"/>
        </w:rPr>
        <w:t xml:space="preserve">, siguiendo la línea trazada por la Ley 80 de 1993, el legislador expidió la Ley 1150 de 2007, que, en el parágrafo 1º del artículo 5, determinó lo siguiente: </w:t>
      </w:r>
    </w:p>
    <w:p w14:paraId="0B21F676" w14:textId="77777777" w:rsidR="00FE7B6C" w:rsidRPr="000323B3" w:rsidRDefault="00FE7B6C" w:rsidP="00FE7B6C">
      <w:pPr>
        <w:spacing w:after="0" w:line="276" w:lineRule="auto"/>
        <w:jc w:val="both"/>
        <w:rPr>
          <w:rFonts w:ascii="Verdana" w:eastAsia="Calibri" w:hAnsi="Verdana" w:cs="Arial"/>
          <w:lang w:val="es-ES_tradnl"/>
        </w:rPr>
      </w:pPr>
    </w:p>
    <w:p w14:paraId="30F8B794" w14:textId="77777777" w:rsidR="00FE7B6C" w:rsidRPr="007540DA" w:rsidRDefault="00FE7B6C" w:rsidP="00FE7B6C">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489EBB79">
        <w:rPr>
          <w:rFonts w:ascii="Verdana" w:eastAsia="Calibri" w:hAnsi="Verdana" w:cs="Arial"/>
          <w:b/>
          <w:bCs/>
          <w:sz w:val="21"/>
          <w:szCs w:val="21"/>
          <w:lang w:val="es-ES"/>
        </w:rPr>
        <w:t xml:space="preserve">, </w:t>
      </w:r>
      <w:r w:rsidRPr="489EBB79">
        <w:rPr>
          <w:rFonts w:ascii="Verdana" w:eastAsia="Calibri" w:hAnsi="Verdana" w:cs="Arial"/>
          <w:sz w:val="21"/>
          <w:szCs w:val="21"/>
          <w:lang w:val="es-ES"/>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50A770C5" w14:textId="77777777" w:rsidR="00FE7B6C" w:rsidRPr="000323B3" w:rsidRDefault="00FE7B6C" w:rsidP="00FE7B6C">
      <w:pPr>
        <w:spacing w:after="0" w:line="276" w:lineRule="auto"/>
        <w:jc w:val="both"/>
        <w:rPr>
          <w:rFonts w:ascii="Verdana" w:eastAsia="Calibri" w:hAnsi="Verdana" w:cs="Arial"/>
          <w:b/>
          <w:lang w:val="es-ES_tradnl"/>
        </w:rPr>
      </w:pPr>
    </w:p>
    <w:p w14:paraId="429E24C3" w14:textId="77777777" w:rsidR="00FE7B6C" w:rsidRPr="000323B3" w:rsidRDefault="00FE7B6C" w:rsidP="00FE7B6C">
      <w:pPr>
        <w:spacing w:after="120" w:line="276" w:lineRule="auto"/>
        <w:ind w:firstLine="709"/>
        <w:jc w:val="both"/>
        <w:rPr>
          <w:rFonts w:ascii="Verdana" w:eastAsia="Calibri" w:hAnsi="Verdana" w:cs="Arial"/>
          <w:lang w:val="es-ES"/>
        </w:rPr>
      </w:pPr>
      <w:r w:rsidRPr="489EBB79">
        <w:rPr>
          <w:rFonts w:ascii="Verdana" w:eastAsia="Calibri" w:hAnsi="Verdana" w:cs="Arial"/>
          <w:lang w:val="es-ES"/>
        </w:rPr>
        <w:lastRenderedPageBreak/>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47F51598"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204A505F" w14:textId="77777777" w:rsidR="00FE7B6C" w:rsidRPr="000323B3" w:rsidRDefault="00FE7B6C" w:rsidP="00FE7B6C">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El artículo 5 de la Ley 1150 de 2007, además de consagrar un criterio más claro, y, de paso, reducir la discrecionalidad de la Administración, fijó un ámbito temporal para </w:t>
      </w:r>
      <w:r>
        <w:rPr>
          <w:rFonts w:ascii="Verdana" w:eastAsia="Calibri" w:hAnsi="Verdana" w:cs="Arial"/>
          <w:lang w:val="es-ES_tradnl"/>
        </w:rPr>
        <w:t>la subsanación de las ofertas: “</w:t>
      </w:r>
      <w:r w:rsidRPr="000323B3">
        <w:rPr>
          <w:rFonts w:ascii="Verdana" w:eastAsia="Calibri" w:hAnsi="Verdana" w:cs="Arial"/>
          <w:lang w:val="es-ES_tradnl"/>
        </w:rPr>
        <w:t>en cualquier</w:t>
      </w:r>
      <w:r>
        <w:rPr>
          <w:rFonts w:ascii="Verdana" w:eastAsia="Calibri" w:hAnsi="Verdana" w:cs="Arial"/>
          <w:lang w:val="es-ES_tradnl"/>
        </w:rPr>
        <w:t xml:space="preserve"> momento, hasta la adjudicación”</w:t>
      </w:r>
      <w:r w:rsidRPr="000323B3">
        <w:rPr>
          <w:rFonts w:ascii="Verdana" w:eastAsia="Calibri" w:hAnsi="Verdana" w:cs="Arial"/>
          <w:lang w:val="es-ES_tradnl"/>
        </w:rPr>
        <w:t>. El Consejo de Estado</w:t>
      </w:r>
      <w:r>
        <w:rPr>
          <w:rFonts w:ascii="Verdana" w:eastAsia="Calibri" w:hAnsi="Verdana" w:cs="Arial"/>
          <w:lang w:val="es-ES_tradnl"/>
        </w:rPr>
        <w:t xml:space="preserve"> </w:t>
      </w:r>
      <w:r w:rsidRPr="000323B3">
        <w:rPr>
          <w:rFonts w:ascii="Verdana" w:eastAsia="Calibri" w:hAnsi="Verdana" w:cs="Arial"/>
          <w:lang w:val="es-ES_tradnl"/>
        </w:rPr>
        <w:t xml:space="preserve">concluyó que a partir del parágrafo 1º del artículo 5 de la Ley 1150, la definición de lo que es subsanable y lo que no lo es surge a partir del planteamiento de la pregunta sobre si el defecto asigna puntaje o no, en estos términos: </w:t>
      </w:r>
    </w:p>
    <w:p w14:paraId="5DFA126B" w14:textId="77777777" w:rsidR="00FE7B6C" w:rsidRPr="000323B3" w:rsidRDefault="00FE7B6C" w:rsidP="00FE7B6C">
      <w:pPr>
        <w:spacing w:after="0" w:line="276" w:lineRule="auto"/>
        <w:jc w:val="both"/>
        <w:rPr>
          <w:rFonts w:ascii="Verdana" w:eastAsia="Calibri" w:hAnsi="Verdana" w:cs="Arial"/>
          <w:lang w:val="es-ES_tradnl"/>
        </w:rPr>
      </w:pPr>
    </w:p>
    <w:p w14:paraId="5DA17EC4" w14:textId="77777777" w:rsidR="00FE7B6C" w:rsidRDefault="00FE7B6C" w:rsidP="00FE7B6C">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w:t>
      </w:r>
      <w:r>
        <w:rPr>
          <w:rFonts w:ascii="Verdana" w:eastAsia="Calibri" w:hAnsi="Verdana" w:cs="Arial"/>
          <w:sz w:val="21"/>
          <w:szCs w:val="21"/>
          <w:lang w:val="es-ES"/>
        </w:rPr>
        <w:t>o</w:t>
      </w:r>
      <w:r w:rsidRPr="489EBB79">
        <w:rPr>
          <w:rFonts w:ascii="Verdana" w:eastAsia="Calibri" w:hAnsi="Verdana" w:cs="Arial"/>
          <w:sz w:val="21"/>
          <w:szCs w:val="21"/>
          <w:lang w:val="es-ES"/>
        </w:rPr>
        <w:t xml:space="preserve"> no a problemas de capacidad o a requisitos cumplidos antes o después de presentadas las ofertas, con la condición de que cuando le pidan la acreditación la satisfaga suficientemente</w:t>
      </w:r>
      <w:r w:rsidRPr="489EBB79">
        <w:rPr>
          <w:rFonts w:ascii="Verdana" w:eastAsia="Calibri" w:hAnsi="Verdana" w:cs="Arial"/>
          <w:sz w:val="21"/>
          <w:szCs w:val="21"/>
          <w:vertAlign w:val="superscript"/>
          <w:lang w:val="es-ES"/>
        </w:rPr>
        <w:footnoteReference w:id="7"/>
      </w:r>
      <w:r w:rsidRPr="489EBB79">
        <w:rPr>
          <w:rFonts w:ascii="Verdana" w:eastAsia="Calibri" w:hAnsi="Verdana" w:cs="Arial"/>
          <w:sz w:val="21"/>
          <w:szCs w:val="21"/>
          <w:lang w:val="es-ES"/>
        </w:rPr>
        <w:t>.</w:t>
      </w:r>
    </w:p>
    <w:p w14:paraId="178914A0" w14:textId="77777777" w:rsidR="00FE7B6C" w:rsidRPr="000323B3" w:rsidRDefault="00FE7B6C" w:rsidP="00FE7B6C">
      <w:pPr>
        <w:spacing w:after="0" w:line="240" w:lineRule="auto"/>
        <w:ind w:left="709" w:right="709"/>
        <w:jc w:val="both"/>
        <w:rPr>
          <w:rFonts w:ascii="Verdana" w:eastAsia="Calibri" w:hAnsi="Verdana" w:cs="Arial"/>
          <w:sz w:val="21"/>
          <w:szCs w:val="21"/>
          <w:lang w:val="es-ES_tradnl"/>
        </w:rPr>
      </w:pPr>
    </w:p>
    <w:p w14:paraId="00E8F56D" w14:textId="77777777" w:rsidR="00FE7B6C" w:rsidRPr="000323B3" w:rsidRDefault="00FE7B6C" w:rsidP="00FE7B6C">
      <w:pPr>
        <w:tabs>
          <w:tab w:val="left" w:pos="284"/>
        </w:tabs>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lastRenderedPageBreak/>
        <w:t xml:space="preserve">Esa interpretación fue compartida </w:t>
      </w:r>
      <w:r>
        <w:rPr>
          <w:rFonts w:ascii="Verdana" w:eastAsia="Calibri" w:hAnsi="Verdana" w:cs="Arial"/>
          <w:lang w:val="es-ES"/>
        </w:rPr>
        <w:t xml:space="preserve">en su momento </w:t>
      </w:r>
      <w:r w:rsidRPr="489EBB79">
        <w:rPr>
          <w:rFonts w:ascii="Verdana" w:eastAsia="Calibri" w:hAnsi="Verdana" w:cs="Arial"/>
          <w:lang w:val="es-ES"/>
        </w:rPr>
        <w:t xml:space="preserve">por la </w:t>
      </w:r>
      <w:r w:rsidRPr="489EBB79">
        <w:rPr>
          <w:rFonts w:ascii="Verdana" w:eastAsia="Times New Roman" w:hAnsi="Verdana" w:cs="Arial"/>
          <w:lang w:val="es-ES" w:eastAsia="es-CO"/>
        </w:rPr>
        <w:t>Agencia Nacional de Contratación Pública – Colombia Compra Eficiente</w:t>
      </w:r>
      <w:r w:rsidRPr="489EBB79">
        <w:rPr>
          <w:rFonts w:ascii="Verdana" w:eastAsia="Calibri" w:hAnsi="Verdana" w:cs="Arial"/>
          <w:lang w:val="es-ES"/>
        </w:rPr>
        <w:t xml:space="preserve">, pues en la Circular Externa Única se precisó </w:t>
      </w:r>
      <w:r>
        <w:rPr>
          <w:rFonts w:ascii="Verdana" w:eastAsia="Calibri" w:hAnsi="Verdana" w:cs="Arial"/>
          <w:lang w:val="es-ES"/>
        </w:rPr>
        <w:t xml:space="preserve">entonces </w:t>
      </w:r>
      <w:r w:rsidRPr="489EBB79">
        <w:rPr>
          <w:rFonts w:ascii="Verdana" w:eastAsia="Calibri" w:hAnsi="Verdana" w:cs="Arial"/>
          <w:lang w:val="es-ES"/>
        </w:rPr>
        <w:t>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41C0C07" w14:textId="77777777" w:rsidR="00FE7B6C" w:rsidRPr="000323B3" w:rsidRDefault="00FE7B6C" w:rsidP="00FE7B6C">
      <w:pPr>
        <w:tabs>
          <w:tab w:val="left" w:pos="284"/>
        </w:tabs>
        <w:spacing w:after="0" w:line="276" w:lineRule="auto"/>
        <w:ind w:firstLine="709"/>
        <w:jc w:val="both"/>
        <w:rPr>
          <w:rFonts w:ascii="Verdana" w:eastAsia="Times New Roman" w:hAnsi="Verdana" w:cs="Arial"/>
          <w:lang w:val="es-ES_tradnl" w:eastAsia="es-CO"/>
        </w:rPr>
      </w:pPr>
      <w:r w:rsidRPr="000323B3">
        <w:rPr>
          <w:rFonts w:ascii="Verdana" w:eastAsia="Times New Roman" w:hAnsi="Verdana" w:cs="Arial"/>
          <w:lang w:val="es-ES_tradnl" w:eastAsia="es-CO"/>
        </w:rPr>
        <w:t xml:space="preserve">Finalmente, en un </w:t>
      </w:r>
      <w:r w:rsidRPr="000323B3">
        <w:rPr>
          <w:rFonts w:ascii="Verdana" w:eastAsia="Times New Roman" w:hAnsi="Verdana" w:cs="Arial"/>
          <w:i/>
          <w:lang w:val="es-ES_tradnl" w:eastAsia="es-CO"/>
        </w:rPr>
        <w:t>cuarto momento</w:t>
      </w:r>
      <w:r w:rsidRPr="000323B3">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3060937" w14:textId="77777777" w:rsidR="00FE7B6C" w:rsidRPr="000323B3" w:rsidRDefault="00FE7B6C" w:rsidP="00FE7B6C">
      <w:pPr>
        <w:tabs>
          <w:tab w:val="left" w:pos="284"/>
        </w:tabs>
        <w:spacing w:after="0" w:line="276" w:lineRule="auto"/>
        <w:ind w:firstLine="709"/>
        <w:jc w:val="both"/>
        <w:rPr>
          <w:rFonts w:ascii="Verdana" w:eastAsia="Calibri" w:hAnsi="Verdana" w:cs="Arial"/>
          <w:lang w:val="es-ES_tradnl"/>
        </w:rPr>
      </w:pPr>
    </w:p>
    <w:p w14:paraId="599C4972" w14:textId="77777777" w:rsidR="00FE7B6C" w:rsidRPr="007540DA" w:rsidRDefault="00FE7B6C" w:rsidP="00FE7B6C">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 xml:space="preserve">Artículo 5°. De la selección objetiva. </w:t>
      </w:r>
    </w:p>
    <w:p w14:paraId="5BBA796C" w14:textId="77777777" w:rsidR="00FE7B6C" w:rsidRPr="007540DA" w:rsidRDefault="00FE7B6C" w:rsidP="00FE7B6C">
      <w:pPr>
        <w:spacing w:before="120" w:after="12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 ]</w:t>
      </w:r>
    </w:p>
    <w:p w14:paraId="1BD10A5D" w14:textId="77777777" w:rsidR="00FE7B6C" w:rsidRDefault="00FE7B6C" w:rsidP="00FE7B6C">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4C274A7" w14:textId="77777777" w:rsidR="00933F37" w:rsidRPr="007540DA" w:rsidRDefault="00933F37" w:rsidP="00FE7B6C">
      <w:pPr>
        <w:spacing w:after="0" w:line="240" w:lineRule="auto"/>
        <w:ind w:left="709" w:right="709"/>
        <w:jc w:val="both"/>
        <w:rPr>
          <w:rFonts w:ascii="Verdana" w:eastAsia="Calibri" w:hAnsi="Verdana" w:cs="Arial"/>
          <w:sz w:val="21"/>
          <w:szCs w:val="21"/>
          <w:lang w:val="es-ES"/>
        </w:rPr>
      </w:pPr>
    </w:p>
    <w:p w14:paraId="3D875B5D" w14:textId="77777777" w:rsidR="00FE7B6C" w:rsidRPr="000323B3" w:rsidRDefault="00FE7B6C" w:rsidP="00933F37">
      <w:pPr>
        <w:spacing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Como puede observarse, la Ley 1882 de 2018: i) mantiene el criterio de la Ley 80 de 1993, relativo a que todo lo que no sea necesario para la comparación de propuestas no es título suficiente para su rechazo; </w:t>
      </w:r>
      <w:proofErr w:type="spellStart"/>
      <w:r w:rsidRPr="489EBB79">
        <w:rPr>
          <w:rFonts w:ascii="Verdana" w:eastAsia="Calibri" w:hAnsi="Verdana" w:cs="Arial"/>
          <w:lang w:val="es-ES"/>
        </w:rPr>
        <w:t>ii</w:t>
      </w:r>
      <w:proofErr w:type="spellEnd"/>
      <w:r w:rsidRPr="489EBB79">
        <w:rPr>
          <w:rFonts w:ascii="Verdana" w:eastAsia="Calibri" w:hAnsi="Verdana" w:cs="Arial"/>
          <w:lang w:val="es-ES"/>
        </w:rPr>
        <w:t xml:space="preserve">) </w:t>
      </w:r>
      <w:r>
        <w:rPr>
          <w:rFonts w:ascii="Verdana" w:eastAsia="Calibri" w:hAnsi="Verdana" w:cs="Arial"/>
          <w:lang w:val="es-ES"/>
        </w:rPr>
        <w:t xml:space="preserve">señala </w:t>
      </w:r>
      <w:r w:rsidRPr="489EBB79">
        <w:rPr>
          <w:rFonts w:ascii="Verdana" w:eastAsia="Calibri" w:hAnsi="Verdana" w:cs="Arial"/>
          <w:lang w:val="es-ES"/>
        </w:rPr>
        <w:t>el criterio aclaratorio de la Ley 1150 de 2007, según el cual todo lo que no afecte la asignación de puntaje puede subsanarse</w:t>
      </w:r>
      <w:r>
        <w:rPr>
          <w:rFonts w:ascii="Verdana" w:eastAsia="Calibri" w:hAnsi="Verdana" w:cs="Arial"/>
          <w:lang w:val="es-ES"/>
        </w:rPr>
        <w:t>,</w:t>
      </w:r>
      <w:r w:rsidRPr="489EBB79">
        <w:rPr>
          <w:rFonts w:ascii="Verdana" w:eastAsia="Calibri" w:hAnsi="Verdana" w:cs="Arial"/>
          <w:lang w:val="es-ES"/>
        </w:rPr>
        <w:t xml:space="preserve"> </w:t>
      </w:r>
      <w:r>
        <w:rPr>
          <w:rFonts w:ascii="Verdana" w:eastAsia="Calibri" w:hAnsi="Verdana" w:cs="Arial"/>
          <w:lang w:val="es-ES"/>
        </w:rPr>
        <w:t>e</w:t>
      </w:r>
      <w:r w:rsidRPr="489EBB79">
        <w:rPr>
          <w:rFonts w:ascii="Verdana" w:eastAsia="Calibri" w:hAnsi="Verdana" w:cs="Arial"/>
          <w:lang w:val="es-ES"/>
        </w:rPr>
        <w:t xml:space="preserve"> </w:t>
      </w:r>
      <w:proofErr w:type="spellStart"/>
      <w:r w:rsidRPr="489EBB79">
        <w:rPr>
          <w:rFonts w:ascii="Verdana" w:eastAsia="Calibri" w:hAnsi="Verdana" w:cs="Arial"/>
          <w:lang w:val="es-ES"/>
        </w:rPr>
        <w:t>iii</w:t>
      </w:r>
      <w:proofErr w:type="spellEnd"/>
      <w:r w:rsidRPr="489EBB79">
        <w:rPr>
          <w:rFonts w:ascii="Verdana" w:eastAsia="Calibri" w:hAnsi="Verdana" w:cs="Arial"/>
          <w:lang w:val="es-ES"/>
        </w:rPr>
        <w:t xml:space="preserve">) introduce modificaciones en relación con algunos aspectos que se analizarán a continuación. </w:t>
      </w:r>
    </w:p>
    <w:p w14:paraId="0CC8E6DD" w14:textId="77777777" w:rsidR="00FE7B6C" w:rsidRPr="000323B3" w:rsidRDefault="00FE7B6C" w:rsidP="00FE7B6C">
      <w:pPr>
        <w:spacing w:after="120" w:line="276" w:lineRule="auto"/>
        <w:ind w:right="51" w:firstLine="709"/>
        <w:jc w:val="both"/>
        <w:rPr>
          <w:rFonts w:ascii="Verdana" w:eastAsia="Calibri" w:hAnsi="Verdana" w:cs="Arial"/>
          <w:lang w:val="es-ES_tradnl"/>
        </w:rPr>
      </w:pPr>
      <w:r w:rsidRPr="000323B3">
        <w:rPr>
          <w:rFonts w:ascii="Verdana" w:eastAsia="Calibri" w:hAnsi="Verdana" w:cs="Arial"/>
          <w:i/>
          <w:iCs/>
          <w:lang w:val="es-ES_tradnl"/>
        </w:rPr>
        <w:t>El primero</w:t>
      </w:r>
      <w:r w:rsidRPr="000323B3">
        <w:rPr>
          <w:rFonts w:ascii="Verdana" w:eastAsia="Calibri" w:hAnsi="Verdana" w:cs="Arial"/>
          <w:lang w:val="es-ES_tradnl"/>
        </w:rPr>
        <w:t xml:space="preserve"> es el ámbito temporal para ejercer la facultad de subsanar la oferta, pues la Ley 1882 de 2018 fijó una regla general y una excepción. La </w:t>
      </w:r>
      <w:r w:rsidRPr="000323B3">
        <w:rPr>
          <w:rFonts w:ascii="Verdana" w:eastAsia="Calibri" w:hAnsi="Verdana" w:cs="Arial"/>
          <w:lang w:val="es-ES_tradnl"/>
        </w:rPr>
        <w:lastRenderedPageBreak/>
        <w:t>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0323B3">
        <w:rPr>
          <w:rFonts w:ascii="Verdana" w:eastAsia="Calibri" w:hAnsi="Verdana" w:cs="Arial"/>
          <w:vertAlign w:val="superscript"/>
          <w:lang w:val="es-ES_tradnl"/>
        </w:rPr>
        <w:footnoteReference w:id="8"/>
      </w:r>
      <w:r w:rsidRPr="000323B3">
        <w:rPr>
          <w:rFonts w:ascii="Verdana" w:eastAsia="Calibri" w:hAnsi="Verdana" w:cs="Arial"/>
          <w:lang w:val="es-ES_tradnl"/>
        </w:rPr>
        <w:t>; en el último los documentos o requisitos subsanables pueden y deben solicitarse hasta el momento previo a la celebración de la audiencia. En cuanto al proceso de mínima cuantía, el Decreto</w:t>
      </w:r>
      <w:r>
        <w:rPr>
          <w:rFonts w:ascii="Verdana" w:eastAsia="Calibri" w:hAnsi="Verdana" w:cs="Arial"/>
          <w:lang w:val="es-ES_tradnl"/>
        </w:rPr>
        <w:t xml:space="preserve"> 1082 de 2015 modificado por el Decreto</w:t>
      </w:r>
      <w:r w:rsidRPr="000323B3">
        <w:rPr>
          <w:rFonts w:ascii="Verdana" w:eastAsia="Calibri" w:hAnsi="Verdana" w:cs="Arial"/>
          <w:lang w:val="es-ES_tradnl"/>
        </w:rPr>
        <w:t xml:space="preserve"> 1860 de 2021, en su artículo 2.2.1.2.1.5.2., numeral 5° dispone que los proponentes podrán subsanar sus ofertas hasta </w:t>
      </w:r>
      <w:r>
        <w:rPr>
          <w:rFonts w:ascii="Verdana" w:eastAsia="Calibri" w:hAnsi="Verdana" w:cs="Arial"/>
          <w:lang w:val="es-ES_tradnl"/>
        </w:rPr>
        <w:t>antes de</w:t>
      </w:r>
      <w:r w:rsidRPr="000323B3">
        <w:rPr>
          <w:rFonts w:ascii="Verdana" w:eastAsia="Calibri" w:hAnsi="Verdana" w:cs="Arial"/>
          <w:lang w:val="es-ES_tradnl"/>
        </w:rPr>
        <w:t xml:space="preserve"> que finalice el traslado del informe de evaluación</w:t>
      </w:r>
      <w:r>
        <w:rPr>
          <w:rFonts w:ascii="Verdana" w:eastAsia="Calibri" w:hAnsi="Verdana" w:cs="Arial"/>
          <w:lang w:val="es-ES_tradnl"/>
        </w:rPr>
        <w:t>, en el evento que la entidad estatal en la invitación y en los documentos del proceso no haya establecido dicho término</w:t>
      </w:r>
      <w:r w:rsidRPr="000323B3">
        <w:rPr>
          <w:rFonts w:ascii="Verdana" w:eastAsia="Calibri" w:hAnsi="Verdana" w:cs="Arial"/>
          <w:vertAlign w:val="superscript"/>
          <w:lang w:val="es-ES_tradnl"/>
        </w:rPr>
        <w:footnoteReference w:id="9"/>
      </w:r>
      <w:r w:rsidRPr="000323B3">
        <w:rPr>
          <w:rFonts w:ascii="Verdana" w:eastAsia="Calibri" w:hAnsi="Verdana" w:cs="Arial"/>
          <w:lang w:val="es-ES_tradnl"/>
        </w:rPr>
        <w:t xml:space="preserve">. </w:t>
      </w:r>
    </w:p>
    <w:p w14:paraId="124D6B3A"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06F3541F">
        <w:rPr>
          <w:rFonts w:ascii="Verdana" w:eastAsia="Calibri" w:hAnsi="Verdana" w:cs="Arial"/>
          <w:lang w:val="es-ES"/>
        </w:rPr>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3F1759BA" w14:textId="77777777" w:rsidR="00FE7B6C"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No obstante, de la lectura de este aparte podrían, en la práctica, darse dos interpretaciones que dan lugar a dos formas de proceder en los procesos de </w:t>
      </w:r>
      <w:r w:rsidRPr="489EBB79">
        <w:rPr>
          <w:rFonts w:ascii="Verdana" w:eastAsia="Calibri" w:hAnsi="Verdana" w:cs="Arial"/>
          <w:lang w:val="es-ES"/>
        </w:rPr>
        <w:lastRenderedPageBreak/>
        <w:t xml:space="preserve">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489EBB79">
        <w:rPr>
          <w:rFonts w:ascii="Verdana" w:eastAsia="Calibri" w:hAnsi="Verdana" w:cs="Arial"/>
          <w:i/>
          <w:iCs/>
          <w:lang w:val="es-ES"/>
        </w:rPr>
        <w:t>límite</w:t>
      </w:r>
      <w:r w:rsidRPr="489EBB79">
        <w:rPr>
          <w:rFonts w:ascii="Verdana" w:eastAsia="Calibri" w:hAnsi="Verdana" w:cs="Arial"/>
          <w:lang w:val="es-ES"/>
        </w:rPr>
        <w:t xml:space="preserve"> para la subsanación de ofertas, pero no el único momento para hacerlo.</w:t>
      </w:r>
      <w:r>
        <w:rPr>
          <w:rFonts w:ascii="Verdana" w:eastAsia="Calibri" w:hAnsi="Verdana" w:cs="Arial"/>
          <w:lang w:val="es-ES"/>
        </w:rPr>
        <w:t xml:space="preserve"> </w:t>
      </w:r>
    </w:p>
    <w:p w14:paraId="7DD9FD3F" w14:textId="77777777" w:rsidR="00FE7B6C" w:rsidRPr="000323B3" w:rsidRDefault="00FE7B6C" w:rsidP="00FE7B6C">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De acuerdo con la primera interpretación, el informe de evaluación se convierte en la oportunidad que adopta la Administración para decirle a los oferentes qué documentos o requisitos omitieron y deben subsanar y, consecuentemente, el término del traslado es la oportunidad del proponente para cumplir con lo solicitado.</w:t>
      </w:r>
      <w:r>
        <w:rPr>
          <w:rFonts w:ascii="Verdana" w:eastAsia="Calibri" w:hAnsi="Verdana" w:cs="Arial"/>
          <w:lang w:val="es-ES_tradnl"/>
        </w:rPr>
        <w:t xml:space="preserve"> </w:t>
      </w:r>
      <w:r w:rsidRPr="000323B3">
        <w:rPr>
          <w:rFonts w:ascii="Verdana" w:eastAsia="Calibri" w:hAnsi="Verdana" w:cs="Arial"/>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ED5616F" w14:textId="77777777" w:rsidR="00FE7B6C" w:rsidRPr="000323B3" w:rsidRDefault="00FE7B6C" w:rsidP="00FE7B6C">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 ya estarán consolidadas en lo formal. Subsanar antes del informe de evaluación ofrece mayor seguridad y certeza al proceso de selección, a la Administración y a los oferentes. </w:t>
      </w:r>
    </w:p>
    <w:p w14:paraId="4B07A96E"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w:t>
      </w:r>
      <w:r w:rsidRPr="489EBB79">
        <w:rPr>
          <w:rFonts w:ascii="Verdana" w:eastAsia="Calibri" w:hAnsi="Verdana" w:cs="Arial"/>
          <w:lang w:val="es-ES"/>
        </w:rPr>
        <w:lastRenderedPageBreak/>
        <w:t>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7FFBAD16"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06F3541F">
        <w:rPr>
          <w:rFonts w:ascii="Verdana" w:eastAsia="Calibri" w:hAnsi="Verdana" w:cs="Arial"/>
          <w:lang w:val="es-ES"/>
        </w:rPr>
        <w:t xml:space="preserve">De otro lado, </w:t>
      </w:r>
      <w:r w:rsidRPr="06F3541F">
        <w:rPr>
          <w:rFonts w:ascii="Verdana" w:eastAsia="Calibri" w:hAnsi="Verdana" w:cs="Arial"/>
          <w:i/>
          <w:lang w:val="es-ES"/>
        </w:rPr>
        <w:t>el segundo</w:t>
      </w:r>
      <w:r w:rsidRPr="06F3541F">
        <w:rPr>
          <w:rFonts w:ascii="Verdana" w:eastAsia="Calibri" w:hAnsi="Verdana" w:cs="Arial"/>
          <w:lang w:val="es-ES"/>
        </w:rPr>
        <w:t xml:space="preserve"> cambio importante de la Ley 1882 de 2018 fue la introducción de un criterio material, directamente relacionado con los aspectos subsanables: “los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752C13CF"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489EBB79">
        <w:rPr>
          <w:rFonts w:ascii="Verdana" w:eastAsia="Calibri" w:hAnsi="Verdana" w:cs="Arial"/>
          <w:vertAlign w:val="superscript"/>
          <w:lang w:val="es-ES"/>
        </w:rPr>
        <w:footnoteReference w:id="10"/>
      </w:r>
      <w:r w:rsidRPr="489EBB79">
        <w:rPr>
          <w:rFonts w:ascii="Verdana" w:eastAsia="Calibri" w:hAnsi="Verdana" w:cs="Arial"/>
          <w:lang w:val="es-ES"/>
        </w:rPr>
        <w:t>.</w:t>
      </w:r>
    </w:p>
    <w:p w14:paraId="3700DEEA" w14:textId="77777777" w:rsidR="00FE7B6C" w:rsidRPr="000323B3" w:rsidRDefault="00FE7B6C" w:rsidP="00FE7B6C">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Pr>
          <w:rFonts w:ascii="Verdana" w:eastAsia="Calibri" w:hAnsi="Verdana" w:cs="Arial"/>
          <w:lang w:val="es-ES_tradnl"/>
        </w:rPr>
        <w:t>“</w:t>
      </w:r>
      <w:r w:rsidRPr="000323B3">
        <w:rPr>
          <w:rFonts w:ascii="Verdana" w:eastAsia="Calibri" w:hAnsi="Verdana" w:cs="Arial"/>
          <w:lang w:val="es-ES_tradnl"/>
        </w:rPr>
        <w:t>cierre del proceso</w:t>
      </w:r>
      <w:r>
        <w:rPr>
          <w:rFonts w:ascii="Verdana" w:eastAsia="Calibri" w:hAnsi="Verdana" w:cs="Arial"/>
          <w:lang w:val="es-ES_tradnl"/>
        </w:rPr>
        <w:t>”</w:t>
      </w:r>
      <w:r w:rsidRPr="000323B3">
        <w:rPr>
          <w:rFonts w:ascii="Verdana" w:eastAsia="Calibri" w:hAnsi="Verdana" w:cs="Arial"/>
          <w:lang w:val="es-ES_tradnl"/>
        </w:rPr>
        <w:t xml:space="preserve">. Lo anterior evita, por ejemplo, que se presenten oferentes que no cumplían con los </w:t>
      </w:r>
      <w:r w:rsidRPr="000323B3">
        <w:rPr>
          <w:rFonts w:ascii="Verdana" w:eastAsia="Calibri" w:hAnsi="Verdana" w:cs="Arial"/>
          <w:lang w:val="es-ES_tradnl"/>
        </w:rPr>
        <w:lastRenderedPageBreak/>
        <w:t xml:space="preserve">requisitos para participar al momento de presentar las ofertas, y pretendan cumplirlos durante el proceso de selección o, inclusive, que se puedan variar condiciones de la oferta una vez presentada. </w:t>
      </w:r>
    </w:p>
    <w:p w14:paraId="37749472"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Un mejor entendimiento del significado de la expresión </w:t>
      </w:r>
      <w:r>
        <w:rPr>
          <w:rFonts w:ascii="Verdana" w:eastAsia="Calibri" w:hAnsi="Verdana" w:cs="Arial"/>
          <w:lang w:val="es-ES"/>
        </w:rPr>
        <w:t>“</w:t>
      </w:r>
      <w:r w:rsidRPr="489EBB79">
        <w:rPr>
          <w:rFonts w:ascii="Verdana" w:eastAsia="Calibri" w:hAnsi="Verdana" w:cs="Arial"/>
          <w:lang w:val="es-ES"/>
        </w:rPr>
        <w:t>circunstancias ocurridas con posterioridad al cierre del proceso</w:t>
      </w:r>
      <w:r>
        <w:rPr>
          <w:rFonts w:ascii="Verdana" w:eastAsia="Calibri" w:hAnsi="Verdana" w:cs="Arial"/>
          <w:lang w:val="es-ES"/>
        </w:rPr>
        <w:t>”</w:t>
      </w:r>
      <w:r w:rsidRPr="489EBB79">
        <w:rPr>
          <w:rFonts w:ascii="Verdana" w:eastAsia="Calibri" w:hAnsi="Verdana" w:cs="Arial"/>
          <w:lang w:val="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0E6FA04D"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489EBB79">
        <w:rPr>
          <w:rFonts w:ascii="Verdana" w:eastAsia="Calibri" w:hAnsi="Verdana" w:cs="Arial"/>
          <w:lang w:val="es-ES"/>
        </w:rPr>
        <w:t>ii</w:t>
      </w:r>
      <w:proofErr w:type="spellEnd"/>
      <w:r w:rsidRPr="489EBB79">
        <w:rPr>
          <w:rFonts w:ascii="Verdana" w:eastAsia="Calibri" w:hAnsi="Verdana" w:cs="Arial"/>
          <w:lang w:val="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489EBB79">
        <w:rPr>
          <w:rFonts w:ascii="Verdana" w:eastAsia="Calibri" w:hAnsi="Verdana" w:cs="Arial"/>
          <w:vertAlign w:val="superscript"/>
          <w:lang w:val="es-ES"/>
        </w:rPr>
        <w:footnoteReference w:id="11"/>
      </w:r>
      <w:r w:rsidRPr="489EBB79">
        <w:rPr>
          <w:rFonts w:ascii="Verdana" w:eastAsia="Calibri" w:hAnsi="Verdana" w:cs="Arial"/>
          <w:lang w:val="es-ES"/>
        </w:rPr>
        <w:t xml:space="preserve">; </w:t>
      </w:r>
      <w:proofErr w:type="spellStart"/>
      <w:r w:rsidRPr="489EBB79">
        <w:rPr>
          <w:rFonts w:ascii="Verdana" w:eastAsia="Calibri" w:hAnsi="Verdana" w:cs="Arial"/>
          <w:lang w:val="es-ES"/>
        </w:rPr>
        <w:t>iii</w:t>
      </w:r>
      <w:proofErr w:type="spellEnd"/>
      <w:r w:rsidRPr="489EBB79">
        <w:rPr>
          <w:rFonts w:ascii="Verdana" w:eastAsia="Calibri" w:hAnsi="Verdana" w:cs="Arial"/>
          <w:lang w:val="es-ES"/>
        </w:rPr>
        <w:t>) si un oferente no anexó el Certificado de existencia y representación legal, el documento aportado con posterioridad debe dar cuenta de que la sociedad existía antes del cierre del proceso</w:t>
      </w:r>
      <w:r w:rsidRPr="489EBB79">
        <w:rPr>
          <w:rFonts w:ascii="Verdana" w:eastAsia="Calibri" w:hAnsi="Verdana" w:cs="Arial"/>
          <w:vertAlign w:val="superscript"/>
          <w:lang w:val="es-ES"/>
        </w:rPr>
        <w:footnoteReference w:id="12"/>
      </w:r>
      <w:r w:rsidRPr="489EBB79">
        <w:rPr>
          <w:rFonts w:ascii="Verdana" w:eastAsia="Calibri" w:hAnsi="Verdana" w:cs="Arial"/>
          <w:lang w:val="es-ES"/>
        </w:rPr>
        <w:t xml:space="preserve">; </w:t>
      </w:r>
      <w:proofErr w:type="spellStart"/>
      <w:r w:rsidRPr="489EBB79">
        <w:rPr>
          <w:rFonts w:ascii="Verdana" w:eastAsia="Calibri" w:hAnsi="Verdana" w:cs="Arial"/>
          <w:lang w:val="es-ES"/>
        </w:rPr>
        <w:t>iv</w:t>
      </w:r>
      <w:proofErr w:type="spellEnd"/>
      <w:r w:rsidRPr="489EBB79">
        <w:rPr>
          <w:rFonts w:ascii="Verdana" w:eastAsia="Calibri" w:hAnsi="Verdana" w:cs="Arial"/>
          <w:lang w:val="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6B655701" w14:textId="77777777" w:rsidR="00FE7B6C" w:rsidRPr="000323B3" w:rsidRDefault="00FE7B6C" w:rsidP="00FE7B6C">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w:t>
      </w:r>
      <w:r w:rsidRPr="489EBB79">
        <w:rPr>
          <w:rFonts w:ascii="Verdana" w:eastAsia="Calibri" w:hAnsi="Verdana" w:cs="Arial"/>
          <w:lang w:val="es-ES"/>
        </w:rPr>
        <w:lastRenderedPageBreak/>
        <w:t xml:space="preserve">para recibir propuestas, siempre y cuando el hecho que acredite haya ocurrido antes, esto es, que no sea una circunstancia ocurrida con posterioridad al cierre del proceso. </w:t>
      </w:r>
      <w:r>
        <w:rPr>
          <w:rFonts w:ascii="Verdana" w:eastAsia="Calibri" w:hAnsi="Verdana" w:cs="Arial"/>
          <w:lang w:val="es-ES"/>
        </w:rPr>
        <w:t xml:space="preserve">Por tanto, </w:t>
      </w:r>
      <w:r w:rsidRPr="489EBB79">
        <w:rPr>
          <w:rFonts w:ascii="Verdana" w:eastAsia="Calibri" w:hAnsi="Verdana" w:cs="Arial"/>
          <w:lang w:val="es-ES"/>
        </w:rPr>
        <w:t>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489EBB79">
        <w:rPr>
          <w:rFonts w:ascii="Verdana" w:eastAsia="Calibri" w:hAnsi="Verdana" w:cs="Arial"/>
          <w:vertAlign w:val="superscript"/>
          <w:lang w:val="es-ES"/>
        </w:rPr>
        <w:footnoteReference w:id="13"/>
      </w:r>
      <w:r w:rsidRPr="489EBB79">
        <w:rPr>
          <w:rFonts w:ascii="Verdana" w:eastAsia="Calibri" w:hAnsi="Verdana" w:cs="Arial"/>
          <w:lang w:val="es-ES"/>
        </w:rPr>
        <w:t xml:space="preserve">. </w:t>
      </w:r>
    </w:p>
    <w:p w14:paraId="29C7A193" w14:textId="77777777" w:rsidR="00FE7B6C" w:rsidRPr="000323B3" w:rsidRDefault="00FE7B6C" w:rsidP="00FE7B6C">
      <w:pPr>
        <w:spacing w:before="120" w:after="0" w:line="276" w:lineRule="auto"/>
        <w:ind w:firstLine="709"/>
        <w:jc w:val="both"/>
        <w:rPr>
          <w:rFonts w:ascii="Verdana" w:eastAsia="Calibri" w:hAnsi="Verdana" w:cs="Arial"/>
          <w:lang w:val="es-ES"/>
        </w:rPr>
      </w:pPr>
      <w:r w:rsidRPr="489EBB79">
        <w:rPr>
          <w:rFonts w:ascii="Verdana" w:eastAsia="Calibri" w:hAnsi="Verdana" w:cs="Arial"/>
          <w:lang w:val="es-ES"/>
        </w:rPr>
        <w:t>Visto lo anterior, una vez verificada la ausencia de requisitos y/o documentos de la oferta, para efectos de saber si se pueden subsanar, la Administración debe preguntar</w:t>
      </w:r>
      <w:r>
        <w:rPr>
          <w:rFonts w:ascii="Verdana" w:eastAsia="Calibri" w:hAnsi="Verdana" w:cs="Arial"/>
          <w:lang w:val="es-ES"/>
        </w:rPr>
        <w:t>se</w:t>
      </w:r>
      <w:r w:rsidRPr="489EBB79">
        <w:rPr>
          <w:rFonts w:ascii="Verdana" w:eastAsia="Calibri" w:hAnsi="Verdana" w:cs="Arial"/>
          <w:lang w:val="es-ES"/>
        </w:rPr>
        <w:t xml:space="preserv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6A8E4091" w14:textId="77777777" w:rsidR="00FE7B6C" w:rsidRDefault="00FE7B6C" w:rsidP="00FE7B6C">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De acuerdo con lo expuesto en torno a la subsanabilidad de las ofertas</w:t>
      </w:r>
      <w:r w:rsidRPr="000323B3">
        <w:rPr>
          <w:rFonts w:ascii="Verdana" w:eastAsia="Times New Roman" w:hAnsi="Verdana" w:cs="Arial"/>
          <w:szCs w:val="24"/>
          <w:lang w:eastAsia="es-ES_tradnl"/>
        </w:rPr>
        <w:t xml:space="preserve"> y teniendo en cuenta las reglas dispuestas en </w:t>
      </w:r>
      <w:r w:rsidRPr="000323B3">
        <w:rPr>
          <w:rFonts w:ascii="Verdana" w:eastAsia="Calibri" w:hAnsi="Verdana" w:cs="Arial"/>
          <w:lang w:val="es-ES_tradnl"/>
        </w:rPr>
        <w:t xml:space="preserve">la Ley 1882 de 2018, </w:t>
      </w:r>
      <w:r>
        <w:rPr>
          <w:rFonts w:ascii="Verdana" w:eastAsia="Calibri" w:hAnsi="Verdana" w:cs="Arial"/>
          <w:lang w:val="es-ES_tradnl"/>
        </w:rPr>
        <w:t xml:space="preserve">se </w:t>
      </w:r>
      <w:r w:rsidRPr="000323B3">
        <w:rPr>
          <w:rFonts w:ascii="Verdana" w:eastAsia="Calibri" w:hAnsi="Verdana" w:cs="Arial"/>
          <w:lang w:val="es-ES_tradnl"/>
        </w:rPr>
        <w:t xml:space="preserve">mantiene el criterio de la Ley 80 de 1993, relativo a que todo lo que no sea necesario para la comparación de propuestas no es argumento suficiente para su rechazo; y </w:t>
      </w:r>
      <w:r>
        <w:rPr>
          <w:rFonts w:ascii="Verdana" w:eastAsia="Calibri" w:hAnsi="Verdana" w:cs="Arial"/>
          <w:lang w:val="es-ES_tradnl"/>
        </w:rPr>
        <w:t xml:space="preserve">también reitera </w:t>
      </w:r>
      <w:r w:rsidRPr="000323B3">
        <w:rPr>
          <w:rFonts w:ascii="Verdana" w:eastAsia="Calibri" w:hAnsi="Verdana" w:cs="Arial"/>
          <w:lang w:val="es-ES_tradnl"/>
        </w:rPr>
        <w:t xml:space="preserve">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 De este modo, en el caso de la subasta y la mínima cuantía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 </w:t>
      </w:r>
    </w:p>
    <w:p w14:paraId="6E4FF568" w14:textId="77777777" w:rsidR="00FE7B6C" w:rsidRPr="00E86580" w:rsidRDefault="00FE7B6C" w:rsidP="00FE7B6C">
      <w:pPr>
        <w:spacing w:before="120" w:after="120" w:line="276" w:lineRule="auto"/>
        <w:ind w:firstLine="709"/>
        <w:jc w:val="both"/>
        <w:rPr>
          <w:rFonts w:ascii="Verdana" w:eastAsia="Calibri" w:hAnsi="Verdana" w:cs="Arial"/>
          <w:lang w:val="es-ES_tradnl"/>
        </w:rPr>
      </w:pPr>
      <w:r>
        <w:rPr>
          <w:rFonts w:ascii="Verdana" w:eastAsia="Calibri" w:hAnsi="Verdana" w:cs="Arial"/>
          <w:lang w:val="es-ES_tradnl"/>
        </w:rPr>
        <w:lastRenderedPageBreak/>
        <w:t xml:space="preserve">Una vez aclarados los parámetros jurídicos que rigen la subsanación de las ofertas, es necesario resaltar que </w:t>
      </w:r>
      <w:r>
        <w:rPr>
          <w:rFonts w:ascii="Verdana" w:hAnsi="Verdana" w:cs="Arial"/>
        </w:rPr>
        <w:t>el parágrafo 1 del artículo 5 de la Ley 1150 de 2007, modificado por el artículo 5 de la Ley 1882 de 2018 emplea una expresión imperativa al señalar que “</w:t>
      </w:r>
      <w:r w:rsidRPr="00EE614E">
        <w:rPr>
          <w:rFonts w:ascii="Verdana" w:hAnsi="Verdana" w:cs="Arial"/>
        </w:rPr>
        <w:t xml:space="preserve">todos aquellos requisitos de la propuesta que no afecten la asignación de puntaje, </w:t>
      </w:r>
      <w:r w:rsidRPr="00EE614E">
        <w:rPr>
          <w:rFonts w:ascii="Verdana" w:hAnsi="Verdana" w:cs="Arial"/>
          <w:i/>
          <w:iCs/>
          <w:u w:val="single"/>
        </w:rPr>
        <w:t>deberán ser solicitados por las entidades estatales</w:t>
      </w:r>
      <w:r w:rsidRPr="00EE614E">
        <w:rPr>
          <w:rFonts w:ascii="Verdana" w:hAnsi="Verdana" w:cs="Arial"/>
        </w:rPr>
        <w:t xml:space="preserve"> y deberán ser entregados por los proponentes hasta el término de traslado del informe de evaluación que corresponda a cada modalidad de selección</w:t>
      </w:r>
      <w:r>
        <w:rPr>
          <w:rFonts w:ascii="Verdana" w:hAnsi="Verdana" w:cs="Arial"/>
        </w:rPr>
        <w:t xml:space="preserve">” [énfasis propio]. De allí se sigue que la subsanación no es una prerrogativa discrecional de la Entidad, sino un deber correlativo a la posibilidad del proponente de corregir su oferta. </w:t>
      </w:r>
    </w:p>
    <w:p w14:paraId="0C8684DB" w14:textId="77777777" w:rsidR="00FE7B6C" w:rsidRDefault="00FE7B6C" w:rsidP="00FE7B6C">
      <w:pPr>
        <w:spacing w:after="120" w:line="276" w:lineRule="auto"/>
        <w:ind w:firstLine="708"/>
        <w:jc w:val="both"/>
        <w:rPr>
          <w:rFonts w:ascii="Verdana" w:hAnsi="Verdana" w:cs="Arial"/>
        </w:rPr>
      </w:pPr>
      <w:r>
        <w:rPr>
          <w:rFonts w:ascii="Verdana" w:hAnsi="Verdana" w:cs="Arial"/>
        </w:rPr>
        <w:t>Así lo ha entendido el Consejo de Estado al señalar que “la posibilidad de aclarar y corregir la oferta no es un derecho que tiene la entidad”, sino que “para aquéllas se trata de un deber, de una obligación”, de manera que “la entidad no puede rechazar de plano la propuesta sin solicitar previamente que se aclare”</w:t>
      </w:r>
      <w:r>
        <w:rPr>
          <w:rStyle w:val="FootnoteReference"/>
          <w:rFonts w:ascii="Verdana" w:hAnsi="Verdana" w:cs="Arial"/>
        </w:rPr>
        <w:footnoteReference w:id="14"/>
      </w:r>
      <w:r>
        <w:rPr>
          <w:rFonts w:ascii="Verdana" w:hAnsi="Verdana" w:cs="Arial"/>
        </w:rPr>
        <w:t>. Al respecto, enfatizó que “</w:t>
      </w:r>
      <w:r w:rsidRPr="007B04CA">
        <w:rPr>
          <w:rFonts w:ascii="Verdana" w:hAnsi="Verdana" w:cs="Arial"/>
        </w:rPr>
        <w:t>Por tanto, si las entidades no conceden a los proponentes la oportunidad de corregir la oferta incompleta o que no se comprende –sólo en aquellos aspectos susceptibles de corregirse- violan el derecho del oferente a hacerlo, e incumplirán la obligación que les asigna la ley</w:t>
      </w:r>
      <w:r>
        <w:rPr>
          <w:rFonts w:ascii="Verdana" w:hAnsi="Verdana" w:cs="Arial"/>
        </w:rPr>
        <w:t>”</w:t>
      </w:r>
      <w:r>
        <w:rPr>
          <w:rStyle w:val="FootnoteReference"/>
          <w:rFonts w:ascii="Verdana" w:hAnsi="Verdana" w:cs="Arial"/>
        </w:rPr>
        <w:footnoteReference w:id="15"/>
      </w:r>
      <w:r>
        <w:rPr>
          <w:rFonts w:ascii="Verdana" w:hAnsi="Verdana" w:cs="Arial"/>
        </w:rPr>
        <w:t>.</w:t>
      </w:r>
    </w:p>
    <w:p w14:paraId="1FA37298" w14:textId="77777777" w:rsidR="00FE7B6C" w:rsidRDefault="00FE7B6C" w:rsidP="00FE7B6C">
      <w:pPr>
        <w:spacing w:after="120" w:line="276" w:lineRule="auto"/>
        <w:ind w:firstLine="709"/>
        <w:jc w:val="both"/>
        <w:rPr>
          <w:rFonts w:ascii="Verdana" w:hAnsi="Verdana" w:cs="Arial"/>
        </w:rPr>
      </w:pPr>
      <w:r>
        <w:rPr>
          <w:rFonts w:ascii="Verdana" w:hAnsi="Verdana" w:cs="Arial"/>
        </w:rPr>
        <w:t xml:space="preserve">En concordancia con lo anterior, el Manual para determinar y verificar los requisitos </w:t>
      </w:r>
      <w:r w:rsidRPr="005E5EE9">
        <w:rPr>
          <w:rFonts w:ascii="Verdana" w:hAnsi="Verdana" w:cs="Arial"/>
        </w:rPr>
        <w:t>habilitantes en los Procesos de Contratación expedido por esta Agencia señala que “Las Entidades Estatales deben solicitar a los oferentes subsanar los errores, inconsistencias u omisiones” en los documentos que acreditan los requisitos habilitantes</w:t>
      </w:r>
      <w:r w:rsidRPr="005E5EE9">
        <w:rPr>
          <w:rStyle w:val="FootnoteReference"/>
          <w:rFonts w:ascii="Verdana" w:hAnsi="Verdana" w:cs="Arial"/>
        </w:rPr>
        <w:footnoteReference w:id="16"/>
      </w:r>
      <w:r w:rsidRPr="005E5EE9">
        <w:rPr>
          <w:rFonts w:ascii="Verdana" w:hAnsi="Verdana" w:cs="Arial"/>
        </w:rPr>
        <w:t>. El rechazo de la oferta por esta causa solo procede, en los términos del artículo 5 de la Ley 1150 de 2007, frente a los proponentes que “</w:t>
      </w:r>
      <w:r w:rsidRPr="005E5EE9">
        <w:rPr>
          <w:rFonts w:ascii="Verdana" w:eastAsia="Calibri" w:hAnsi="Verdana" w:cs="Arial"/>
          <w:lang w:val="es-ES"/>
        </w:rPr>
        <w:t>no suministren la información y la documentación solicitada por la entidad estatal hasta el plazo anteriormente señalado […]</w:t>
      </w:r>
      <w:r w:rsidRPr="005E5EE9">
        <w:rPr>
          <w:rFonts w:ascii="Verdana" w:hAnsi="Verdana" w:cs="Arial"/>
        </w:rPr>
        <w:t xml:space="preserve">”. Por tanto, el rechazo no puede ser una consecuencia automática de la deficiencia, pues requiere que la entidad cumpla con formular el requerimiento de la información que pretende </w:t>
      </w:r>
      <w:r>
        <w:rPr>
          <w:rFonts w:ascii="Verdana" w:hAnsi="Verdana" w:cs="Arial"/>
        </w:rPr>
        <w:t xml:space="preserve">que </w:t>
      </w:r>
      <w:r w:rsidRPr="005E5EE9">
        <w:rPr>
          <w:rFonts w:ascii="Verdana" w:hAnsi="Verdana" w:cs="Arial"/>
        </w:rPr>
        <w:t>el proponente</w:t>
      </w:r>
      <w:r>
        <w:rPr>
          <w:rFonts w:ascii="Verdana" w:hAnsi="Verdana" w:cs="Arial"/>
        </w:rPr>
        <w:t xml:space="preserve"> </w:t>
      </w:r>
      <w:r w:rsidRPr="005E5EE9">
        <w:rPr>
          <w:rFonts w:ascii="Verdana" w:hAnsi="Verdana" w:cs="Arial"/>
        </w:rPr>
        <w:t>subsane.</w:t>
      </w:r>
      <w:r>
        <w:rPr>
          <w:rFonts w:ascii="Verdana" w:hAnsi="Verdana" w:cs="Arial"/>
        </w:rPr>
        <w:t xml:space="preserve"> En los términos del Consejo de Estado:</w:t>
      </w:r>
    </w:p>
    <w:p w14:paraId="5C6FEB10" w14:textId="77777777" w:rsidR="00FE7B6C" w:rsidRPr="002D3374" w:rsidRDefault="00FE7B6C" w:rsidP="00FE7B6C">
      <w:pPr>
        <w:spacing w:after="0" w:line="240" w:lineRule="auto"/>
        <w:ind w:left="709" w:right="709"/>
        <w:jc w:val="both"/>
        <w:rPr>
          <w:rFonts w:ascii="Verdana" w:hAnsi="Verdana" w:cs="Arial"/>
          <w:sz w:val="21"/>
          <w:szCs w:val="21"/>
        </w:rPr>
      </w:pPr>
      <w:r w:rsidRPr="002D3374">
        <w:rPr>
          <w:rFonts w:ascii="Verdana" w:hAnsi="Verdana" w:cs="Arial"/>
          <w:sz w:val="21"/>
          <w:szCs w:val="21"/>
        </w:rPr>
        <w:lastRenderedPageBreak/>
        <w:t>“[…] para evitar el rechazo in limine de las ofertas, las entidades estatales tienen la carga de buscar claridad a los aspectos dudosos que surjan durante la evaluación de las mismas. Por tanto, si no comprende algo, si existe contradicción, si un requisito fue omitido, etc., la entidad solicitará “a los proponentes las aclaraciones y explicaciones que se estimen indispensables”, comportamiento que realiza el principio de economía vertido en el art. 25.15, de allí que la entidad no puede rechazar de plano la propuesta sin solicitar previamente que se aclare”</w:t>
      </w:r>
      <w:r w:rsidRPr="002D3374">
        <w:rPr>
          <w:rStyle w:val="FootnoteReference"/>
          <w:rFonts w:ascii="Verdana" w:hAnsi="Verdana" w:cs="Arial"/>
          <w:sz w:val="21"/>
          <w:szCs w:val="21"/>
        </w:rPr>
        <w:footnoteReference w:id="17"/>
      </w:r>
      <w:r w:rsidRPr="002D3374">
        <w:rPr>
          <w:rFonts w:ascii="Verdana" w:hAnsi="Verdana" w:cs="Arial"/>
          <w:sz w:val="21"/>
          <w:szCs w:val="21"/>
        </w:rPr>
        <w:t>.</w:t>
      </w:r>
    </w:p>
    <w:p w14:paraId="4C99A758" w14:textId="77777777" w:rsidR="00FE7B6C" w:rsidRPr="005E5EE9" w:rsidRDefault="00FE7B6C" w:rsidP="00FE7B6C">
      <w:pPr>
        <w:spacing w:after="0" w:line="240" w:lineRule="auto"/>
        <w:ind w:left="709" w:right="709"/>
        <w:jc w:val="both"/>
        <w:rPr>
          <w:rFonts w:ascii="Verdana" w:hAnsi="Verdana" w:cs="Arial"/>
          <w:sz w:val="20"/>
          <w:szCs w:val="20"/>
        </w:rPr>
      </w:pPr>
    </w:p>
    <w:p w14:paraId="3DB5AF57" w14:textId="06E0D650"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De esta conclusión debe desprenderse el grado de especificidad que debe tener el requerimiento de subsanación. Aunque la ley no prescribe un contenido formal para esta actuación, la Entidad debe formularla de manera que el proponente pueda realmente conocer qué se le pide y cumplirlo. Ello se deriva del deber de establecer reglas claras y objetivas del numeral 5 del artículo 24 de la Ley 80 de 1993, del derecho de los interesados a conocer y controvertir los informes y decisiones de la Administración, al cual se refiere el numeral 2 del mismo artículo, del debido proceso previsto en el artículo 29 de la Constitución Política, y de los principios de publicidad, transparencia y buena fe que rigen este tipo de actuaciones. </w:t>
      </w:r>
      <w:r w:rsidR="004E5456" w:rsidRPr="00E374A0">
        <w:rPr>
          <w:rFonts w:ascii="Verdana" w:hAnsi="Verdana" w:cs="Arial"/>
        </w:rPr>
        <w:t xml:space="preserve">En </w:t>
      </w:r>
      <w:r w:rsidRPr="00061603">
        <w:rPr>
          <w:rFonts w:ascii="Verdana" w:hAnsi="Verdana" w:cs="Arial"/>
        </w:rPr>
        <w:t xml:space="preserve">esta </w:t>
      </w:r>
      <w:r w:rsidR="004E5456" w:rsidRPr="00E374A0">
        <w:rPr>
          <w:rFonts w:ascii="Verdana" w:hAnsi="Verdana" w:cs="Arial"/>
        </w:rPr>
        <w:t>misma dirección</w:t>
      </w:r>
      <w:r w:rsidRPr="00061603">
        <w:rPr>
          <w:rFonts w:ascii="Verdana" w:hAnsi="Verdana" w:cs="Arial"/>
        </w:rPr>
        <w:t xml:space="preserve">, el </w:t>
      </w:r>
      <w:r w:rsidR="004E5456" w:rsidRPr="00E374A0">
        <w:rPr>
          <w:rFonts w:ascii="Verdana" w:hAnsi="Verdana" w:cs="Arial"/>
        </w:rPr>
        <w:t>Consejo de Estado ha precisado que la oportunidad para subsanar supone la coexistencia de deberes y facultades: de un lado, las entidades tienen el deber de señalar las falencias advertidas y otorgar términos razonables para superarlas y, de otro, los proponentes están llamados a atender lo requerido para que sus ofrecimientos sean valorados de forma objetiva, completa y transparente</w:t>
      </w:r>
      <w:r w:rsidR="004E5456" w:rsidRPr="00E87A8A">
        <w:rPr>
          <w:rStyle w:val="FootnoteReference"/>
          <w:rFonts w:ascii="Verdana" w:hAnsi="Verdana" w:cs="Arial"/>
        </w:rPr>
        <w:footnoteReference w:id="18"/>
      </w:r>
      <w:r w:rsidR="004E5456" w:rsidRPr="00E374A0">
        <w:rPr>
          <w:rFonts w:ascii="Verdana" w:hAnsi="Verdana" w:cs="Arial"/>
        </w:rPr>
        <w:t xml:space="preserve">. </w:t>
      </w:r>
      <w:r w:rsidR="004E5456" w:rsidRPr="00E87A8A">
        <w:rPr>
          <w:rFonts w:ascii="Verdana" w:hAnsi="Verdana" w:cs="Arial"/>
        </w:rPr>
        <w:t xml:space="preserve">En este marco, a juicio de esta Agencia, el requerimiento </w:t>
      </w:r>
      <w:r w:rsidR="004E5456" w:rsidRPr="00E374A0">
        <w:rPr>
          <w:rFonts w:ascii="Verdana" w:hAnsi="Verdana" w:cs="Arial"/>
        </w:rPr>
        <w:t>debe</w:t>
      </w:r>
      <w:r>
        <w:rPr>
          <w:rFonts w:ascii="Verdana" w:hAnsi="Verdana" w:cs="Arial"/>
        </w:rPr>
        <w:t xml:space="preserve"> indicar, como mínimo: a) el requisito habilitante al que se refiere; b) la deficiencia, error, inconsistencia u omisión advertida; c) el documento o la información que el proponente debe aportar o aclarar; y d) el término para hacerlo, que no puede exceder el límite legal correspondiente a la modalidad de selección. Un requerimiento genérico o ambiguo, por ejemplo, uno que se limite a señalar que el proponente “no cumple” un requisito sin explicar cuál, por qué o cuál es la deficiencia, no satisface el deber legal en cabeza de la entidad porque impide al proponente ejercer de manera efectiva su derecho a subsanar.</w:t>
      </w:r>
    </w:p>
    <w:p w14:paraId="7E14644F" w14:textId="7A8A74E7" w:rsidR="00FE7B6C" w:rsidRDefault="00FE7B6C" w:rsidP="00FE7B6C">
      <w:pPr>
        <w:spacing w:after="120" w:line="276" w:lineRule="auto"/>
        <w:ind w:firstLine="709"/>
        <w:jc w:val="both"/>
        <w:rPr>
          <w:rFonts w:ascii="Verdana" w:hAnsi="Verdana" w:cs="Arial"/>
        </w:rPr>
      </w:pPr>
      <w:r>
        <w:rPr>
          <w:rFonts w:ascii="Verdana" w:hAnsi="Verdana" w:cs="Arial"/>
        </w:rPr>
        <w:lastRenderedPageBreak/>
        <w:t xml:space="preserve">Respecto del alcance del requerimiento cuando la Entidad señala una deficiencia específica dentro de un requisito habilitante, debe tenerse en cuenta que el proponente está obligado a atender lo que se le requiere. </w:t>
      </w:r>
      <w:r w:rsidR="004E5456" w:rsidRPr="00E374A0">
        <w:rPr>
          <w:rFonts w:ascii="Verdana" w:hAnsi="Verdana" w:cs="Arial"/>
        </w:rPr>
        <w:t>La subsanación, según ha precisado el Consejo de Estado, es un deber-facultad de la Entidad que se activa con su examen previo y con el requerimiento, y no una conducta que el proponente pueda ejecutar por su sola voluntad al margen de aquel</w:t>
      </w:r>
      <w:r w:rsidR="004E5456" w:rsidRPr="00E87A8A">
        <w:rPr>
          <w:rStyle w:val="FootnoteReference"/>
          <w:rFonts w:ascii="Verdana" w:hAnsi="Verdana" w:cs="Arial"/>
        </w:rPr>
        <w:footnoteReference w:id="19"/>
      </w:r>
      <w:r w:rsidR="004E5456" w:rsidRPr="00E374A0">
        <w:rPr>
          <w:rFonts w:ascii="Verdana" w:hAnsi="Verdana" w:cs="Arial"/>
        </w:rPr>
        <w:t>. Por ello, abierta la etapa de subsanación mediante el requerimiento, nada impide que, dentro del término legal, el proponente corrija también otros aspectos de su oferta relacionados con requisitos que no otorgan puntaje, siempre que no acredite circunstancias posteriores al cierre ni mejore su oferta; pero esa iniciativa no releva a la Entidad de su deber de requerir de manera específica cada deficiencia antes de rechazar, ni traslada al proponente la carga de adivinar las deficiencias que la Entidad no identificó.</w:t>
      </w:r>
      <w:r>
        <w:rPr>
          <w:rFonts w:ascii="Verdana" w:hAnsi="Verdana" w:cs="Arial"/>
        </w:rPr>
        <w:t xml:space="preserve"> Por tanto, si la Entidad, al revisar la respuesta, advierte un defecto en un aspecto que no fue objeto del requerimiento, no puede rechazar la oferta con fundamento en él sin antes requerir su subsanación. En ese evento, el Manual de requisitos habilitantes prevé que, si la Entidad no solicitó la subsanación en el informe de evaluación </w:t>
      </w:r>
    </w:p>
    <w:p w14:paraId="6F592461" w14:textId="77777777" w:rsidR="00FE7B6C" w:rsidRPr="002D3374" w:rsidRDefault="00FE7B6C" w:rsidP="00FE7B6C">
      <w:pPr>
        <w:spacing w:after="120" w:line="240" w:lineRule="auto"/>
        <w:ind w:left="709" w:right="709"/>
        <w:jc w:val="both"/>
        <w:rPr>
          <w:rFonts w:ascii="Verdana" w:hAnsi="Verdana" w:cs="Arial"/>
          <w:sz w:val="21"/>
          <w:szCs w:val="21"/>
        </w:rPr>
      </w:pPr>
      <w:r w:rsidRPr="002D3374">
        <w:rPr>
          <w:rFonts w:ascii="Verdana" w:hAnsi="Verdana" w:cs="Arial"/>
          <w:sz w:val="21"/>
          <w:szCs w:val="21"/>
        </w:rPr>
        <w:t>“podrá requerir al proponente para que lo haga otorgando un plazo igual al término del traslado. Esta sugerencia aplica, por ejemplo, a aquellos eventos en los que, a raíz de alguna observación realizada al informe de evaluación durante el término de su traslado, se evidencie que no se requirió a alguno de los proponentes documentos que son susceptibles de subsanación”</w:t>
      </w:r>
      <w:r w:rsidRPr="002D3374">
        <w:rPr>
          <w:rStyle w:val="FootnoteReference"/>
          <w:rFonts w:ascii="Verdana" w:hAnsi="Verdana" w:cs="Arial"/>
          <w:sz w:val="21"/>
          <w:szCs w:val="21"/>
        </w:rPr>
        <w:footnoteReference w:id="20"/>
      </w:r>
      <w:r w:rsidRPr="002D3374">
        <w:rPr>
          <w:rFonts w:ascii="Verdana" w:hAnsi="Verdana" w:cs="Arial"/>
          <w:sz w:val="21"/>
          <w:szCs w:val="21"/>
        </w:rPr>
        <w:t>.</w:t>
      </w:r>
    </w:p>
    <w:p w14:paraId="49D59CD7" w14:textId="77777777" w:rsidR="00FE7B6C" w:rsidRDefault="00FE7B6C" w:rsidP="00FE7B6C">
      <w:pPr>
        <w:spacing w:after="0" w:line="276" w:lineRule="auto"/>
        <w:ind w:right="191" w:firstLine="709"/>
        <w:jc w:val="both"/>
        <w:rPr>
          <w:rFonts w:ascii="Verdana" w:hAnsi="Verdana" w:cs="Arial"/>
        </w:rPr>
      </w:pPr>
      <w:r>
        <w:rPr>
          <w:rFonts w:ascii="Verdana" w:hAnsi="Verdana" w:cs="Arial"/>
        </w:rPr>
        <w:t>El Manual también precisa que</w:t>
      </w:r>
      <w:r w:rsidRPr="00233A1E">
        <w:rPr>
          <w:rFonts w:ascii="Verdana" w:hAnsi="Verdana" w:cs="Arial"/>
        </w:rPr>
        <w:t xml:space="preserve"> la subsanación de las propuestas se diferencia de la aclaración o explicación, puesto que estas no suponen adicionar la oferta o agregarle requisitos omitidos al momento de presentarla, sino que están dirigidas a hacer más comprensibles aspectos que no resultaron claros para la Entidad en la acreditación realizada. En consecuencia, cuando las Entidades Estatales identifiquen aspectos que generen dudas, inconsistencias o ausencias pueden solicitar la respectiva aclaración. Frente a la respuesta que den los proponentes, se debe valorar si se trata efectivamente de una aclaración o, por el contrario, de una subsanación que afect</w:t>
      </w:r>
      <w:r>
        <w:rPr>
          <w:rFonts w:ascii="Verdana" w:hAnsi="Verdana" w:cs="Arial"/>
        </w:rPr>
        <w:t>a</w:t>
      </w:r>
      <w:r w:rsidRPr="00233A1E">
        <w:rPr>
          <w:rFonts w:ascii="Verdana" w:hAnsi="Verdana" w:cs="Arial"/>
        </w:rPr>
        <w:t xml:space="preserve"> la </w:t>
      </w:r>
      <w:r w:rsidRPr="00233A1E">
        <w:rPr>
          <w:rFonts w:ascii="Verdana" w:hAnsi="Verdana" w:cs="Arial"/>
        </w:rPr>
        <w:lastRenderedPageBreak/>
        <w:t>asignación de puntaje</w:t>
      </w:r>
      <w:r>
        <w:rPr>
          <w:rFonts w:ascii="Verdana" w:hAnsi="Verdana" w:cs="Arial"/>
        </w:rPr>
        <w:t>,</w:t>
      </w:r>
      <w:r w:rsidRPr="00F47131">
        <w:t xml:space="preserve"> </w:t>
      </w:r>
      <w:r w:rsidRPr="00F47131">
        <w:rPr>
          <w:rFonts w:ascii="Verdana" w:hAnsi="Verdana" w:cs="Arial"/>
        </w:rPr>
        <w:t>incida en la comparación de las ofertas o acredite una situación ocurrida con posterioridad al cierre</w:t>
      </w:r>
      <w:r>
        <w:rPr>
          <w:rFonts w:ascii="Verdana" w:hAnsi="Verdana" w:cs="Arial"/>
        </w:rPr>
        <w:t>.</w:t>
      </w:r>
    </w:p>
    <w:p w14:paraId="22EECAD6" w14:textId="77777777" w:rsidR="00FE7B6C" w:rsidRDefault="00FE7B6C" w:rsidP="00FE7B6C">
      <w:pPr>
        <w:spacing w:after="0" w:line="276" w:lineRule="auto"/>
        <w:ind w:right="191" w:firstLine="709"/>
        <w:jc w:val="both"/>
        <w:rPr>
          <w:rFonts w:ascii="Verdana" w:hAnsi="Verdana" w:cs="Arial"/>
        </w:rPr>
      </w:pPr>
    </w:p>
    <w:p w14:paraId="3DE82858" w14:textId="77777777" w:rsidR="00FE7B6C" w:rsidRDefault="00FE7B6C" w:rsidP="00FE7B6C">
      <w:pPr>
        <w:spacing w:after="120" w:line="276" w:lineRule="auto"/>
        <w:ind w:right="191"/>
        <w:jc w:val="both"/>
        <w:rPr>
          <w:rFonts w:ascii="Verdana" w:hAnsi="Verdana" w:cs="Arial"/>
        </w:rPr>
      </w:pPr>
      <w:proofErr w:type="spellStart"/>
      <w:r>
        <w:rPr>
          <w:rFonts w:ascii="Verdana" w:hAnsi="Verdana" w:cs="Arial"/>
        </w:rPr>
        <w:t>ii</w:t>
      </w:r>
      <w:proofErr w:type="spellEnd"/>
      <w:r>
        <w:rPr>
          <w:rFonts w:ascii="Verdana" w:hAnsi="Verdana" w:cs="Arial"/>
        </w:rPr>
        <w:t>. En cuanto al segundo problema jurídico, el numeral 8 del artículo 30 de la Ley 80 de 1993 dispone que los informes de evaluación permanecerán a disposición de los oferentes por el término allí previsto “para que los oferentes presenten las observaciones que estimen pertinentes. En ejercicio de esta facultad, los oferentes no podrán completar, adicionar, modificar o mejorar sus propuestas”. A su turno, el numeral 2 del artículo 24 de la misma ley garantiza que los interesados tendrán oportunidad de conocer y controvertir los informes, conceptos y decisiones que se rindan o adopten. El traslado del informe de evaluación es, entonces, una etapa reglada del procedimiento de selección que permite a los oferentes conocer los criterios de evaluación aplicados y formular observaciones, como manifestación del debido proceso y de los principios de transparencia y publicidad. En el mismo sentido, el Consejo de Estado ha señalado que esta etapa busca preservar la igualdad de oportunidades y permitir a los oferentes discutir o controvertir la evaluación</w:t>
      </w:r>
      <w:r>
        <w:rPr>
          <w:rStyle w:val="FootnoteReference"/>
          <w:rFonts w:ascii="Verdana" w:hAnsi="Verdana" w:cs="Arial"/>
        </w:rPr>
        <w:footnoteReference w:id="21"/>
      </w:r>
      <w:r>
        <w:rPr>
          <w:rFonts w:ascii="Verdana" w:hAnsi="Verdana" w:cs="Arial"/>
        </w:rPr>
        <w:t>.</w:t>
      </w:r>
    </w:p>
    <w:p w14:paraId="0E607F14"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Las observaciones que un oferente formula sobre la oferta de otro son, por tanto, una materialización del derecho de contradicción de un tercero interesado. Cuando la Entidad da traslado de esas observaciones al proponente cuya oferta se cuestiona, le permite pronunciarse sobre ellas y, con ello, garantiza su derecho de defensa. Sin embargo, ese traslado no tiene la misma naturaleza del requerimiento de subsanación, pues mientras la observación expresa la posición de un competidor que es trasladada para conocimiento del proponente correspondiente, el requerimiento es una actuación de la Entidad mediante la cual esta, después de verificar la oferta conforme al pliego de condiciones, determina que existe una deficiencia y cumple el deber legal de solicitar su corrección. Por ello, el simple traslado de una observación, sin que la Entidad fije su posición sobre la existencia de la deficiencia ni solicite expresamente un documento o información, no sustituye su deber legal de requerir. Distinto es el caso en el que la Entidad, al dar traslado, acoge la observación, identifica de manera concreta la deficiencia, solicita el documento o la información y otorga un término para aportarla; en esa hipótesis, la </w:t>
      </w:r>
      <w:r>
        <w:rPr>
          <w:rFonts w:ascii="Verdana" w:hAnsi="Verdana" w:cs="Arial"/>
        </w:rPr>
        <w:lastRenderedPageBreak/>
        <w:t>actuación tiene el contenido propio de un requerimiento de subsanación, cuya suficiencia debe valorarse en el caso concreto.</w:t>
      </w:r>
    </w:p>
    <w:p w14:paraId="26F7E434" w14:textId="77777777" w:rsidR="00FE7B6C" w:rsidRDefault="00FE7B6C" w:rsidP="00FE7B6C">
      <w:pPr>
        <w:spacing w:after="0" w:line="276" w:lineRule="auto"/>
        <w:ind w:firstLine="709"/>
        <w:jc w:val="both"/>
        <w:rPr>
          <w:rFonts w:ascii="Verdana" w:hAnsi="Verdana" w:cs="Arial"/>
        </w:rPr>
      </w:pPr>
      <w:r>
        <w:rPr>
          <w:rFonts w:ascii="Verdana" w:hAnsi="Verdana" w:cs="Arial"/>
        </w:rPr>
        <w:t>Ahora bien, en lo que se refiere a la modificación del informe de evaluación con fundamento en observaciones de otros oferentes, debe precisarse que la Entidad puede revisarlo y corregirlo cuando estas evidencian que la verificación no se ajustó a las reglas del pliego de condiciones. No obstante, la facultad de corregir el informe no habilita a la Entidad para omitir el deber de solicitar la subsanación. Si la modificación consiste en advertir que un requisito habilitante no está acreditado o lo está de forma deficiente, y ese aspecto no fue objeto de un requerimiento específico, la Entidad debe solicitar al proponente su subsanación antes de rechazar la oferta, otorgándole un plazo razonable que, conforme al Manual citado, puede ser igual al término de traslado previsto para la modalidad de selección. En consecuencia, el rechazo de una oferta por un aspecto que no fue requerido de manera específica en el informe inicial, y respecto del cual no se dio al proponente la oportunidad de subsanar, desconoce el parágrafo 1 del artículo 5 de la Ley 1150 de 2007.</w:t>
      </w:r>
    </w:p>
    <w:p w14:paraId="0EFA72BD" w14:textId="77777777" w:rsidR="00FE7B6C" w:rsidRPr="00666B6A" w:rsidRDefault="00FE7B6C" w:rsidP="00FE7B6C">
      <w:pPr>
        <w:spacing w:after="0" w:line="276" w:lineRule="auto"/>
        <w:ind w:firstLine="709"/>
        <w:jc w:val="both"/>
        <w:rPr>
          <w:rFonts w:ascii="Verdana" w:hAnsi="Verdana" w:cs="Arial"/>
        </w:rPr>
      </w:pPr>
    </w:p>
    <w:p w14:paraId="391079F4" w14:textId="77777777" w:rsidR="00FE7B6C" w:rsidRPr="00233FA0" w:rsidRDefault="00FE7B6C" w:rsidP="00FE7B6C">
      <w:pPr>
        <w:spacing w:line="276" w:lineRule="auto"/>
        <w:jc w:val="both"/>
        <w:rPr>
          <w:rFonts w:ascii="Verdana" w:eastAsia="Calibri" w:hAnsi="Verdana" w:cs="Arial"/>
          <w:sz w:val="20"/>
        </w:rPr>
      </w:pPr>
      <w:proofErr w:type="spellStart"/>
      <w:r>
        <w:rPr>
          <w:rFonts w:ascii="Verdana" w:hAnsi="Verdana" w:cs="Arial"/>
        </w:rPr>
        <w:t>iii</w:t>
      </w:r>
      <w:proofErr w:type="spellEnd"/>
      <w:r>
        <w:rPr>
          <w:rFonts w:ascii="Verdana" w:hAnsi="Verdana" w:cs="Arial"/>
        </w:rPr>
        <w:t>. En relación con el tercer problema jurídico, la Ley 1882 de 2018 fijó como límite temporal para subsanar el término de traslado del informe de evaluación que corresponda a cada modalidad de selección, con las salvedades de la mínima cuantía y de la subasta. Esta Agencia ha precisado, para la licitación pública, que durante el traslado del informe de evaluación los proponentes pueden subsanar los requisitos habilitantes solicitados y que, una vez publicado el informe definitivo,</w:t>
      </w:r>
      <w:r w:rsidRPr="00233FA0">
        <w:rPr>
          <w:rFonts w:ascii="Verdana" w:hAnsi="Verdana" w:cs="Arial"/>
        </w:rPr>
        <w:t xml:space="preserve"> los proponentes únicamente podrán pronunciarse sobre las respuestas dadas por la Entidad Estatal a las observaciones presentadas respecto del informe de evaluación definitivo</w:t>
      </w:r>
      <w:r>
        <w:rPr>
          <w:rFonts w:ascii="Verdana" w:hAnsi="Verdana" w:cs="Arial"/>
        </w:rPr>
        <w:t>.</w:t>
      </w:r>
      <w:r w:rsidRPr="00233FA0">
        <w:rPr>
          <w:rFonts w:ascii="Verdana" w:hAnsi="Verdana" w:cs="Arial"/>
        </w:rPr>
        <w:t xml:space="preserve"> </w:t>
      </w:r>
      <w:r>
        <w:rPr>
          <w:rFonts w:ascii="Verdana" w:hAnsi="Verdana" w:cs="Arial"/>
        </w:rPr>
        <w:t xml:space="preserve">Ello </w:t>
      </w:r>
      <w:r w:rsidRPr="00233FA0">
        <w:rPr>
          <w:rFonts w:ascii="Verdana" w:hAnsi="Verdana" w:cs="Arial"/>
        </w:rPr>
        <w:t>no implica una nueva oportunidad para mejorar o modificar</w:t>
      </w:r>
      <w:r>
        <w:rPr>
          <w:rFonts w:ascii="Verdana" w:hAnsi="Verdana" w:cs="Arial"/>
        </w:rPr>
        <w:t xml:space="preserve"> la oferta</w:t>
      </w:r>
      <w:r w:rsidRPr="00233FA0">
        <w:rPr>
          <w:rFonts w:ascii="Verdana" w:hAnsi="Verdana" w:cs="Arial"/>
        </w:rPr>
        <w:t>, es decir</w:t>
      </w:r>
      <w:r>
        <w:rPr>
          <w:rFonts w:ascii="Verdana" w:hAnsi="Verdana" w:cs="Arial"/>
        </w:rPr>
        <w:t>,</w:t>
      </w:r>
      <w:r w:rsidRPr="00233FA0">
        <w:rPr>
          <w:rFonts w:ascii="Verdana" w:hAnsi="Verdana" w:cs="Arial"/>
        </w:rPr>
        <w:t xml:space="preserve"> no podrían subsanar ningún requisito habilitante</w:t>
      </w:r>
      <w:r w:rsidRPr="00F47131">
        <w:rPr>
          <w:rFonts w:ascii="Verdana" w:hAnsi="Verdana" w:cs="Arial"/>
        </w:rPr>
        <w:t xml:space="preserve"> </w:t>
      </w:r>
      <w:r w:rsidRPr="00233FA0">
        <w:rPr>
          <w:rFonts w:ascii="Verdana" w:hAnsi="Verdana" w:cs="Arial"/>
        </w:rPr>
        <w:t>vencido el término de traslado del respectivo informe de evaluación</w:t>
      </w:r>
      <w:r>
        <w:rPr>
          <w:rFonts w:ascii="Verdana" w:hAnsi="Verdana" w:cs="Arial"/>
        </w:rPr>
        <w:t>,</w:t>
      </w:r>
      <w:r w:rsidRPr="00233FA0">
        <w:rPr>
          <w:rFonts w:ascii="Verdana" w:hAnsi="Verdana" w:cs="Arial"/>
        </w:rPr>
        <w:t xml:space="preserve"> </w:t>
      </w:r>
      <w:r>
        <w:rPr>
          <w:rFonts w:ascii="Verdana" w:hAnsi="Verdana" w:cs="Arial"/>
        </w:rPr>
        <w:t xml:space="preserve">conforme al </w:t>
      </w:r>
      <w:r w:rsidRPr="00233FA0">
        <w:rPr>
          <w:rFonts w:ascii="Verdana" w:hAnsi="Verdana" w:cs="Arial"/>
        </w:rPr>
        <w:t>numeral 1 del artículo 2.2.1.2.1.1.2. del Decreto 1082 de 2015,</w:t>
      </w:r>
      <w:r>
        <w:rPr>
          <w:rStyle w:val="FootnoteReference"/>
          <w:rFonts w:ascii="Verdana" w:hAnsi="Verdana" w:cs="Arial"/>
        </w:rPr>
        <w:footnoteReference w:id="22"/>
      </w:r>
      <w:r>
        <w:rPr>
          <w:rFonts w:ascii="Verdana" w:hAnsi="Verdana" w:cs="Arial"/>
        </w:rPr>
        <w:t>.</w:t>
      </w:r>
    </w:p>
    <w:p w14:paraId="48234F72" w14:textId="4E0210AE"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En consecuencia, la regla general es que los documentos aportados después del término de traslado del informe de evaluación, incluso en la etapa de observaciones al informe definitivo, no pueden tenerse en cuenta para </w:t>
      </w:r>
      <w:r>
        <w:rPr>
          <w:rFonts w:ascii="Verdana" w:hAnsi="Verdana" w:cs="Arial"/>
        </w:rPr>
        <w:lastRenderedPageBreak/>
        <w:t xml:space="preserve">subsanar requisitos habilitantes, salvo que se aporten dentro del plazo que la propia Entidad haya otorgado mediante un requerimiento posterior, en los términos expuestos en el acápite anterior. Sin embargo, debe distinguirse entre subsanar y aclarar. La subsanación supone aportar lo que falta o corregir lo que está mal acreditado; la aclaración, en cambio, se limita a explicar o confirmar el alcance de información que ya obra en la oferta o en los documentos aportados oportunamente, sin añadir nada nuevo. Cuando un documento posterior no completa, adiciona, modifica ni mejora la oferta, porque se limita a confirmar lo que ya estaba acreditado en lo aportado dentro del término legal, la Entidad puede valorarlo en ejercicio de su deber de verificación, pues el principio de selección objetiva exige que la decisión se adopte con base en la realidad de lo ofrecido. </w:t>
      </w:r>
      <w:r w:rsidR="004E5456" w:rsidRPr="00E374A0">
        <w:rPr>
          <w:rFonts w:ascii="Verdana" w:hAnsi="Verdana" w:cs="Arial"/>
        </w:rPr>
        <w:t>Sobre esta diferencia, el Consejo de Estado ha sostenido que la subsanación comporta que el oferente satisfaga una deficiencia para poner su oferta en condiciones de ser evaluada, mientras que la aclaración o explicación no agrega nada a lo propuesto, sino que hace comprensible lo que ya consta en ella</w:t>
      </w:r>
      <w:r w:rsidR="004E5456" w:rsidRPr="00E87A8A">
        <w:rPr>
          <w:rStyle w:val="FootnoteReference"/>
          <w:rFonts w:ascii="Verdana" w:hAnsi="Verdana" w:cs="Arial"/>
        </w:rPr>
        <w:footnoteReference w:id="23"/>
      </w:r>
      <w:r w:rsidR="004E5456" w:rsidRPr="00E374A0">
        <w:rPr>
          <w:rFonts w:ascii="Verdana" w:hAnsi="Verdana" w:cs="Arial"/>
        </w:rPr>
        <w:t xml:space="preserve">. </w:t>
      </w:r>
      <w:r>
        <w:rPr>
          <w:rFonts w:ascii="Verdana" w:hAnsi="Verdana" w:cs="Arial"/>
        </w:rPr>
        <w:t>Determinar si un documento aclara o, por el contrario, subsana tardíamente, es una valoración que corresponde a la Entidad en cada caso concreto.</w:t>
      </w:r>
    </w:p>
    <w:p w14:paraId="0DAB9F09" w14:textId="77777777" w:rsidR="00FE7B6C" w:rsidRDefault="00FE7B6C" w:rsidP="00FE7B6C">
      <w:pPr>
        <w:spacing w:after="0" w:line="276" w:lineRule="auto"/>
        <w:ind w:firstLine="709"/>
        <w:jc w:val="both"/>
        <w:rPr>
          <w:rFonts w:ascii="Verdana" w:hAnsi="Verdana" w:cs="Arial"/>
        </w:rPr>
      </w:pPr>
      <w:r>
        <w:rPr>
          <w:rFonts w:ascii="Verdana" w:hAnsi="Verdana" w:cs="Arial"/>
        </w:rPr>
        <w:t>Por otra parte, la prohibición de acreditar circunstancias posteriores al cierre se refiere al hecho que se prueba y no a la fecha del documento que lo prueba. Esta Agencia ha explicado que “no es la prueba –usualmente un documento– lo que debe ser anterior al cierre del proceso, sino el hecho que ella acredita”</w:t>
      </w:r>
      <w:r>
        <w:rPr>
          <w:rStyle w:val="FootnoteReference"/>
          <w:rFonts w:ascii="Verdana" w:hAnsi="Verdana" w:cs="Arial"/>
        </w:rPr>
        <w:footnoteReference w:id="24"/>
      </w:r>
      <w:r>
        <w:rPr>
          <w:rFonts w:ascii="Verdana" w:hAnsi="Verdana" w:cs="Arial"/>
        </w:rPr>
        <w:t>. Así, un documento expedido con posterioridad al cierre puede acreditar válidamente un hecho o una autorización ocurrida antes de esa fecha, siempre que se aporte dentro de la oportunidad legal o, si se trata de una simple aclaración, en los términos antes señalados.</w:t>
      </w:r>
    </w:p>
    <w:p w14:paraId="0C00CEDA" w14:textId="77777777" w:rsidR="00FE7B6C" w:rsidRPr="00EE638D" w:rsidRDefault="00FE7B6C" w:rsidP="00FE7B6C">
      <w:pPr>
        <w:spacing w:after="0" w:line="276" w:lineRule="auto"/>
        <w:ind w:firstLine="709"/>
        <w:jc w:val="both"/>
        <w:rPr>
          <w:rFonts w:ascii="Verdana" w:hAnsi="Verdana" w:cs="Arial"/>
        </w:rPr>
      </w:pPr>
    </w:p>
    <w:p w14:paraId="160C259D" w14:textId="77777777" w:rsidR="00FE7B6C" w:rsidRDefault="00FE7B6C" w:rsidP="00FE7B6C">
      <w:pPr>
        <w:tabs>
          <w:tab w:val="left" w:pos="8505"/>
        </w:tabs>
        <w:spacing w:after="120" w:line="276" w:lineRule="auto"/>
        <w:ind w:right="142"/>
        <w:jc w:val="both"/>
        <w:rPr>
          <w:rFonts w:ascii="Verdana" w:hAnsi="Verdana" w:cs="Arial"/>
          <w:color w:val="000000" w:themeColor="text1"/>
        </w:rPr>
      </w:pPr>
      <w:proofErr w:type="spellStart"/>
      <w:r>
        <w:rPr>
          <w:rFonts w:ascii="Verdana" w:hAnsi="Verdana" w:cs="Arial"/>
          <w:bCs/>
          <w:color w:val="000000" w:themeColor="text1"/>
          <w:lang w:val="es-ES"/>
        </w:rPr>
        <w:t>iv</w:t>
      </w:r>
      <w:proofErr w:type="spellEnd"/>
      <w:r>
        <w:rPr>
          <w:rFonts w:ascii="Verdana" w:hAnsi="Verdana" w:cs="Arial"/>
          <w:bCs/>
          <w:color w:val="000000" w:themeColor="text1"/>
          <w:lang w:val="es-ES"/>
        </w:rPr>
        <w:t xml:space="preserve">. </w:t>
      </w:r>
      <w:r>
        <w:rPr>
          <w:rFonts w:ascii="Verdana" w:hAnsi="Verdana" w:cs="Arial"/>
        </w:rPr>
        <w:t xml:space="preserve">En cuanto al cuarto problema jurídico, </w:t>
      </w:r>
      <w:r w:rsidRPr="002775BB">
        <w:rPr>
          <w:rFonts w:ascii="Verdana" w:hAnsi="Verdana" w:cs="Arial"/>
          <w:i/>
          <w:iCs/>
          <w:color w:val="000000" w:themeColor="text1"/>
        </w:rPr>
        <w:t>la capacidad jurídica</w:t>
      </w:r>
      <w:r>
        <w:rPr>
          <w:rFonts w:ascii="Verdana" w:hAnsi="Verdana" w:cs="Arial"/>
          <w:color w:val="000000" w:themeColor="text1"/>
        </w:rPr>
        <w:t xml:space="preserve"> </w:t>
      </w:r>
      <w:r w:rsidRPr="002F7E6A">
        <w:rPr>
          <w:rFonts w:ascii="Verdana" w:hAnsi="Verdana" w:cs="Arial"/>
          <w:color w:val="000000" w:themeColor="text1"/>
        </w:rPr>
        <w:t>es un presupuesto de la validez de</w:t>
      </w:r>
      <w:r>
        <w:rPr>
          <w:rFonts w:ascii="Verdana" w:hAnsi="Verdana" w:cs="Arial"/>
          <w:color w:val="000000" w:themeColor="text1"/>
        </w:rPr>
        <w:t>l</w:t>
      </w:r>
      <w:r w:rsidRPr="002F7E6A">
        <w:rPr>
          <w:rFonts w:ascii="Verdana" w:hAnsi="Verdana" w:cs="Arial"/>
          <w:color w:val="000000" w:themeColor="text1"/>
        </w:rPr>
        <w:t xml:space="preserve"> contrato. No en vano, en concordancia con el numeral 1 del artículo 1502 del Código Civil</w:t>
      </w:r>
      <w:r w:rsidRPr="002F7E6A">
        <w:rPr>
          <w:rStyle w:val="FootnoteReference"/>
          <w:rFonts w:ascii="Verdana" w:hAnsi="Verdana" w:cs="Arial"/>
          <w:color w:val="000000" w:themeColor="text1"/>
        </w:rPr>
        <w:footnoteReference w:id="25"/>
      </w:r>
      <w:r w:rsidRPr="002F7E6A">
        <w:rPr>
          <w:rFonts w:ascii="Verdana" w:hAnsi="Verdana" w:cs="Arial"/>
          <w:color w:val="000000" w:themeColor="text1"/>
        </w:rPr>
        <w:t xml:space="preserve">, el artículo 6 de la Ley 80 de 1993 </w:t>
      </w:r>
      <w:r w:rsidRPr="002F7E6A">
        <w:rPr>
          <w:rFonts w:ascii="Verdana" w:hAnsi="Verdana" w:cs="Arial"/>
          <w:color w:val="000000" w:themeColor="text1"/>
        </w:rPr>
        <w:lastRenderedPageBreak/>
        <w:t>dispone</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Pueden celebrar 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xml:space="preserve">. </w:t>
      </w:r>
      <w:r>
        <w:rPr>
          <w:rFonts w:ascii="Verdana" w:hAnsi="Verdana" w:cs="Arial"/>
          <w:color w:val="000000" w:themeColor="text1"/>
        </w:rPr>
        <w:t xml:space="preserve">Así las cosas, la capacidad jurídica </w:t>
      </w:r>
      <w:r w:rsidRPr="00507DD1">
        <w:rPr>
          <w:rFonts w:ascii="Verdana" w:eastAsia="Calibri" w:hAnsi="Verdana" w:cs="Arial"/>
          <w:lang w:val="es-ES" w:eastAsia="es-ES"/>
        </w:rPr>
        <w:t>es la aptitud que recae en los sujetos activos o pasivos de las relaciones jurídicas</w:t>
      </w:r>
      <w:r w:rsidRPr="00507DD1">
        <w:rPr>
          <w:rFonts w:ascii="Verdana" w:eastAsia="Calibri" w:hAnsi="Verdana" w:cs="Arial"/>
          <w:vertAlign w:val="superscript"/>
          <w:lang w:val="es-ES" w:eastAsia="es-ES"/>
        </w:rPr>
        <w:footnoteReference w:id="26"/>
      </w:r>
      <w:r w:rsidRPr="00507DD1">
        <w:rPr>
          <w:rFonts w:ascii="Verdana" w:eastAsia="Calibri" w:hAnsi="Verdana" w:cs="Arial"/>
          <w:lang w:val="es-ES" w:eastAsia="es-ES"/>
        </w:rPr>
        <w:t xml:space="preserve">. Para efectos de las relaciones contractuales en las que uno de los extremos de la relación sea una Entidad Estatal, la capacidad jurídica es la facultad que tiene una persona natural o jurídica para celebrar contratos </w:t>
      </w:r>
      <w:r>
        <w:rPr>
          <w:rFonts w:ascii="Verdana" w:eastAsia="Calibri" w:hAnsi="Verdana" w:cs="Arial"/>
          <w:lang w:val="es-ES" w:eastAsia="es-ES"/>
        </w:rPr>
        <w:t xml:space="preserve">con </w:t>
      </w:r>
      <w:r w:rsidRPr="00507DD1">
        <w:rPr>
          <w:rFonts w:ascii="Verdana" w:eastAsia="Calibri" w:hAnsi="Verdana" w:cs="Arial"/>
          <w:lang w:val="es-ES" w:eastAsia="es-ES"/>
        </w:rPr>
        <w:t>estas Entidades. En otras palabras, se refiere a la capacidad de obligarse a cumplir el objeto del contrato, así como a no estar incursa en inhabilidades o incompatibilidades que impidan su celebración.</w:t>
      </w:r>
    </w:p>
    <w:p w14:paraId="6B0BB626" w14:textId="77777777" w:rsidR="00FE7B6C" w:rsidRDefault="00FE7B6C" w:rsidP="00FE7B6C">
      <w:pPr>
        <w:tabs>
          <w:tab w:val="left" w:pos="8505"/>
        </w:tabs>
        <w:spacing w:after="0" w:line="276" w:lineRule="auto"/>
        <w:ind w:right="142" w:firstLine="709"/>
        <w:jc w:val="both"/>
        <w:rPr>
          <w:rFonts w:ascii="Verdana" w:hAnsi="Verdana" w:cs="Arial"/>
          <w:color w:val="000000" w:themeColor="text1"/>
        </w:rPr>
      </w:pPr>
      <w:r w:rsidRPr="002F7E6A">
        <w:rPr>
          <w:rFonts w:ascii="Verdana" w:hAnsi="Verdana" w:cs="Arial"/>
          <w:color w:val="000000" w:themeColor="text1"/>
        </w:rPr>
        <w:t>Para estos efectos,</w:t>
      </w:r>
      <w:r>
        <w:rPr>
          <w:rFonts w:ascii="Verdana" w:hAnsi="Verdana" w:cs="Arial"/>
          <w:color w:val="000000" w:themeColor="text1"/>
        </w:rPr>
        <w:t xml:space="preserve"> tratándose de </w:t>
      </w:r>
      <w:r w:rsidRPr="002775BB">
        <w:rPr>
          <w:rFonts w:ascii="Verdana" w:hAnsi="Verdana" w:cs="Arial"/>
          <w:i/>
          <w:iCs/>
          <w:color w:val="000000" w:themeColor="text1"/>
        </w:rPr>
        <w:t>personas naturales</w:t>
      </w:r>
      <w:r>
        <w:rPr>
          <w:rFonts w:ascii="Verdana" w:hAnsi="Verdana" w:cs="Arial"/>
          <w:color w:val="000000" w:themeColor="text1"/>
        </w:rPr>
        <w:t>,</w:t>
      </w:r>
      <w:r w:rsidRPr="002F7E6A">
        <w:rPr>
          <w:rFonts w:ascii="Verdana" w:hAnsi="Verdana" w:cs="Arial"/>
          <w:color w:val="000000" w:themeColor="text1"/>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 Al respecto, la doctrina explica:</w:t>
      </w:r>
    </w:p>
    <w:p w14:paraId="3B57BFE6" w14:textId="77777777" w:rsidR="00FE7B6C" w:rsidRPr="002F7E6A" w:rsidRDefault="00FE7B6C" w:rsidP="00FE7B6C">
      <w:pPr>
        <w:tabs>
          <w:tab w:val="left" w:pos="8505"/>
        </w:tabs>
        <w:spacing w:after="0" w:line="276" w:lineRule="auto"/>
        <w:ind w:right="142"/>
        <w:jc w:val="both"/>
        <w:rPr>
          <w:rFonts w:ascii="Verdana" w:hAnsi="Verdana" w:cs="Arial"/>
          <w:color w:val="000000" w:themeColor="text1"/>
        </w:rPr>
      </w:pPr>
    </w:p>
    <w:p w14:paraId="3069AA34" w14:textId="77777777" w:rsidR="00FE7B6C" w:rsidRPr="002D3374" w:rsidRDefault="00FE7B6C" w:rsidP="00FE7B6C">
      <w:pPr>
        <w:tabs>
          <w:tab w:val="left" w:pos="8505"/>
        </w:tabs>
        <w:spacing w:after="0" w:line="240" w:lineRule="auto"/>
        <w:ind w:left="709" w:right="709"/>
        <w:jc w:val="both"/>
        <w:rPr>
          <w:rFonts w:ascii="Verdana" w:hAnsi="Verdana" w:cs="Arial"/>
          <w:color w:val="000000" w:themeColor="text1"/>
          <w:sz w:val="21"/>
          <w:szCs w:val="21"/>
        </w:rPr>
      </w:pPr>
      <w:r w:rsidRPr="002D3374">
        <w:rPr>
          <w:rFonts w:ascii="Verdana" w:hAnsi="Verdana" w:cs="Arial"/>
          <w:color w:val="000000" w:themeColor="text1"/>
          <w:sz w:val="21"/>
          <w:szCs w:val="21"/>
        </w:rPr>
        <w:t>“</w:t>
      </w:r>
      <w:r w:rsidRPr="002D3374">
        <w:rPr>
          <w:rFonts w:ascii="Verdana" w:hAnsi="Verdana" w:cs="Arial"/>
          <w:i/>
          <w:color w:val="000000" w:themeColor="text1"/>
          <w:sz w:val="21"/>
          <w:szCs w:val="21"/>
        </w:rPr>
        <w:t>Capacidad</w:t>
      </w:r>
      <w:r w:rsidRPr="002D3374">
        <w:rPr>
          <w:rFonts w:ascii="Verdana" w:hAnsi="Verdana" w:cs="Arial"/>
          <w:color w:val="000000" w:themeColor="text1"/>
          <w:sz w:val="21"/>
          <w:szCs w:val="21"/>
        </w:rPr>
        <w:t xml:space="preserve"> es una palabra de doble sentido, lo mismo que </w:t>
      </w:r>
      <w:r w:rsidRPr="002D3374">
        <w:rPr>
          <w:rFonts w:ascii="Verdana" w:hAnsi="Verdana" w:cs="Arial"/>
          <w:i/>
          <w:color w:val="000000" w:themeColor="text1"/>
          <w:sz w:val="21"/>
          <w:szCs w:val="21"/>
        </w:rPr>
        <w:t>incapacidad</w:t>
      </w:r>
      <w:r w:rsidRPr="002D3374">
        <w:rPr>
          <w:rFonts w:ascii="Verdana" w:hAnsi="Verdana" w:cs="Arial"/>
          <w:color w:val="000000" w:themeColor="text1"/>
          <w:sz w:val="21"/>
          <w:szCs w:val="21"/>
        </w:rPr>
        <w:t xml:space="preserve">, su contraria: a veces designa con ella la aptitud o falta de aptitud para </w:t>
      </w:r>
      <w:r w:rsidRPr="002D3374">
        <w:rPr>
          <w:rFonts w:ascii="Verdana" w:hAnsi="Verdana" w:cs="Arial"/>
          <w:i/>
          <w:color w:val="000000" w:themeColor="text1"/>
          <w:sz w:val="21"/>
          <w:szCs w:val="21"/>
        </w:rPr>
        <w:t>adquirir</w:t>
      </w:r>
      <w:r w:rsidRPr="002D3374">
        <w:rPr>
          <w:rFonts w:ascii="Verdana" w:hAnsi="Verdana" w:cs="Arial"/>
          <w:color w:val="000000" w:themeColor="text1"/>
          <w:sz w:val="21"/>
          <w:szCs w:val="21"/>
        </w:rPr>
        <w:t xml:space="preserve"> y para </w:t>
      </w:r>
      <w:r w:rsidRPr="002D3374">
        <w:rPr>
          <w:rFonts w:ascii="Verdana" w:hAnsi="Verdana" w:cs="Arial"/>
          <w:i/>
          <w:color w:val="000000" w:themeColor="text1"/>
          <w:sz w:val="21"/>
          <w:szCs w:val="21"/>
        </w:rPr>
        <w:t>poseer</w:t>
      </w:r>
      <w:r w:rsidRPr="002D3374">
        <w:rPr>
          <w:rFonts w:ascii="Verdana" w:hAnsi="Verdana" w:cs="Arial"/>
          <w:color w:val="000000" w:themeColor="text1"/>
          <w:sz w:val="21"/>
          <w:szCs w:val="21"/>
        </w:rPr>
        <w:t xml:space="preserve"> derechos, para ser titular de esos derechos, y entonces se trata de una </w:t>
      </w:r>
      <w:r w:rsidRPr="002D3374">
        <w:rPr>
          <w:rFonts w:ascii="Verdana" w:hAnsi="Verdana" w:cs="Arial"/>
          <w:i/>
          <w:color w:val="000000" w:themeColor="text1"/>
          <w:sz w:val="21"/>
          <w:szCs w:val="21"/>
        </w:rPr>
        <w:t>capacidad</w:t>
      </w:r>
      <w:r w:rsidRPr="002D3374">
        <w:rPr>
          <w:rFonts w:ascii="Verdana" w:hAnsi="Verdana" w:cs="Arial"/>
          <w:color w:val="000000" w:themeColor="text1"/>
          <w:sz w:val="21"/>
          <w:szCs w:val="21"/>
        </w:rPr>
        <w:t xml:space="preserve"> o una </w:t>
      </w:r>
      <w:r w:rsidRPr="002D3374">
        <w:rPr>
          <w:rFonts w:ascii="Verdana" w:hAnsi="Verdana" w:cs="Arial"/>
          <w:i/>
          <w:color w:val="000000" w:themeColor="text1"/>
          <w:sz w:val="21"/>
          <w:szCs w:val="21"/>
        </w:rPr>
        <w:t>incapacidad</w:t>
      </w:r>
      <w:r w:rsidRPr="002D3374">
        <w:rPr>
          <w:rFonts w:ascii="Verdana" w:hAnsi="Verdana" w:cs="Arial"/>
          <w:color w:val="000000" w:themeColor="text1"/>
          <w:sz w:val="21"/>
          <w:szCs w:val="21"/>
        </w:rPr>
        <w:t xml:space="preserve"> </w:t>
      </w:r>
      <w:r w:rsidRPr="002D3374">
        <w:rPr>
          <w:rFonts w:ascii="Verdana" w:hAnsi="Verdana" w:cs="Arial"/>
          <w:i/>
          <w:color w:val="000000" w:themeColor="text1"/>
          <w:sz w:val="21"/>
          <w:szCs w:val="21"/>
        </w:rPr>
        <w:t>de goce</w:t>
      </w:r>
      <w:r w:rsidRPr="002D3374">
        <w:rPr>
          <w:rFonts w:ascii="Verdana" w:hAnsi="Verdana" w:cs="Arial"/>
          <w:color w:val="000000" w:themeColor="text1"/>
          <w:sz w:val="21"/>
          <w:szCs w:val="21"/>
        </w:rPr>
        <w:t xml:space="preserve"> […]; otras veces, y con mayor frecuencia, se trata sólo de la aptitud o falta de aptitud para </w:t>
      </w:r>
      <w:r w:rsidRPr="002D3374">
        <w:rPr>
          <w:rFonts w:ascii="Verdana" w:hAnsi="Verdana" w:cs="Arial"/>
          <w:i/>
          <w:color w:val="000000" w:themeColor="text1"/>
          <w:sz w:val="21"/>
          <w:szCs w:val="21"/>
        </w:rPr>
        <w:t>ejercer</w:t>
      </w:r>
      <w:r w:rsidRPr="002D3374">
        <w:rPr>
          <w:rFonts w:ascii="Verdana" w:hAnsi="Verdana" w:cs="Arial"/>
          <w:color w:val="000000" w:themeColor="text1"/>
          <w:sz w:val="21"/>
          <w:szCs w:val="21"/>
        </w:rPr>
        <w:t xml:space="preserve"> los derechos de que una persona está investida y, en tal caso, se trata sólo de una </w:t>
      </w:r>
      <w:r w:rsidRPr="002D3374">
        <w:rPr>
          <w:rFonts w:ascii="Verdana" w:hAnsi="Verdana" w:cs="Arial"/>
          <w:i/>
          <w:color w:val="000000" w:themeColor="text1"/>
          <w:sz w:val="21"/>
          <w:szCs w:val="21"/>
        </w:rPr>
        <w:t>capacidad</w:t>
      </w:r>
      <w:r w:rsidRPr="002D3374">
        <w:rPr>
          <w:rFonts w:ascii="Verdana" w:hAnsi="Verdana" w:cs="Arial"/>
          <w:color w:val="000000" w:themeColor="text1"/>
          <w:sz w:val="21"/>
          <w:szCs w:val="21"/>
        </w:rPr>
        <w:t xml:space="preserve"> o de una </w:t>
      </w:r>
      <w:r w:rsidRPr="002D3374">
        <w:rPr>
          <w:rFonts w:ascii="Verdana" w:hAnsi="Verdana" w:cs="Arial"/>
          <w:i/>
          <w:color w:val="000000" w:themeColor="text1"/>
          <w:sz w:val="21"/>
          <w:szCs w:val="21"/>
        </w:rPr>
        <w:t>incapacidad de ejercicio</w:t>
      </w:r>
      <w:r w:rsidRPr="002D3374">
        <w:rPr>
          <w:rFonts w:ascii="Verdana" w:hAnsi="Verdana" w:cs="Arial"/>
          <w:color w:val="000000" w:themeColor="text1"/>
          <w:sz w:val="21"/>
          <w:szCs w:val="21"/>
        </w:rPr>
        <w:t>.</w:t>
      </w:r>
    </w:p>
    <w:p w14:paraId="60B369F3" w14:textId="77777777" w:rsidR="00FE7B6C" w:rsidRPr="002D3374" w:rsidRDefault="00FE7B6C" w:rsidP="00FE7B6C">
      <w:pPr>
        <w:tabs>
          <w:tab w:val="left" w:pos="8505"/>
        </w:tabs>
        <w:spacing w:after="0" w:line="240" w:lineRule="auto"/>
        <w:ind w:left="709" w:right="709"/>
        <w:jc w:val="both"/>
        <w:rPr>
          <w:rFonts w:ascii="Verdana" w:hAnsi="Verdana" w:cs="Arial"/>
          <w:color w:val="000000" w:themeColor="text1"/>
          <w:sz w:val="21"/>
          <w:szCs w:val="21"/>
        </w:rPr>
      </w:pPr>
    </w:p>
    <w:p w14:paraId="5DF4800B" w14:textId="77777777" w:rsidR="00FE7B6C" w:rsidRPr="002D3374" w:rsidRDefault="00FE7B6C" w:rsidP="00FE7B6C">
      <w:pPr>
        <w:tabs>
          <w:tab w:val="left" w:pos="8505"/>
        </w:tabs>
        <w:spacing w:after="0" w:line="240" w:lineRule="auto"/>
        <w:ind w:left="709" w:right="709"/>
        <w:jc w:val="both"/>
        <w:rPr>
          <w:rFonts w:ascii="Verdana" w:hAnsi="Verdana" w:cs="Arial"/>
          <w:color w:val="000000" w:themeColor="text1"/>
          <w:sz w:val="21"/>
          <w:szCs w:val="21"/>
        </w:rPr>
      </w:pPr>
      <w:r w:rsidRPr="002D3374">
        <w:rPr>
          <w:rFonts w:ascii="Verdana" w:hAnsi="Verdana" w:cs="Arial"/>
          <w:color w:val="000000" w:themeColor="text1"/>
          <w:sz w:val="21"/>
          <w:szCs w:val="21"/>
        </w:rPr>
        <w:t xml:space="preserve">Ejemplos: un menor no tiene derechos políticos, está totalmente privado de ellos; la incapacidad se refiere al </w:t>
      </w:r>
      <w:r w:rsidRPr="002D3374">
        <w:rPr>
          <w:rFonts w:ascii="Verdana" w:hAnsi="Verdana" w:cs="Arial"/>
          <w:i/>
          <w:color w:val="000000" w:themeColor="text1"/>
          <w:sz w:val="21"/>
          <w:szCs w:val="21"/>
        </w:rPr>
        <w:t>goce</w:t>
      </w:r>
      <w:r w:rsidRPr="002D3374">
        <w:rPr>
          <w:rFonts w:ascii="Verdana" w:hAnsi="Verdana" w:cs="Arial"/>
          <w:color w:val="000000" w:themeColor="text1"/>
          <w:sz w:val="21"/>
          <w:szCs w:val="21"/>
        </w:rPr>
        <w:t xml:space="preserve">, a la </w:t>
      </w:r>
      <w:r w:rsidRPr="002D3374">
        <w:rPr>
          <w:rFonts w:ascii="Verdana" w:hAnsi="Verdana" w:cs="Arial"/>
          <w:i/>
          <w:color w:val="000000" w:themeColor="text1"/>
          <w:sz w:val="21"/>
          <w:szCs w:val="21"/>
        </w:rPr>
        <w:t>existencia</w:t>
      </w:r>
      <w:r w:rsidRPr="002D3374">
        <w:rPr>
          <w:rFonts w:ascii="Verdana" w:hAnsi="Verdana" w:cs="Arial"/>
          <w:color w:val="000000" w:themeColor="text1"/>
          <w:sz w:val="21"/>
          <w:szCs w:val="21"/>
        </w:rPr>
        <w:t xml:space="preserve"> misma de esos derechos. Pero ese mismo menor puede ser propietario </w:t>
      </w:r>
      <w:r w:rsidRPr="002D3374">
        <w:rPr>
          <w:rFonts w:ascii="Verdana" w:hAnsi="Verdana" w:cs="Arial"/>
          <w:color w:val="000000" w:themeColor="text1"/>
          <w:sz w:val="21"/>
          <w:szCs w:val="21"/>
        </w:rPr>
        <w:lastRenderedPageBreak/>
        <w:t>o acreedor; puede poseer bienes, tener una fortuna considerable; 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07E10E00" w14:textId="77777777" w:rsidR="00FE7B6C" w:rsidRPr="002D3374" w:rsidRDefault="00FE7B6C" w:rsidP="00FE7B6C">
      <w:pPr>
        <w:tabs>
          <w:tab w:val="left" w:pos="8505"/>
        </w:tabs>
        <w:spacing w:after="0" w:line="240" w:lineRule="auto"/>
        <w:ind w:left="709" w:right="709"/>
        <w:jc w:val="both"/>
        <w:rPr>
          <w:rFonts w:ascii="Verdana" w:hAnsi="Verdana" w:cs="Arial"/>
          <w:color w:val="000000" w:themeColor="text1"/>
          <w:sz w:val="21"/>
          <w:szCs w:val="21"/>
        </w:rPr>
      </w:pPr>
      <w:r w:rsidRPr="002D3374">
        <w:rPr>
          <w:rFonts w:ascii="Verdana" w:hAnsi="Verdana" w:cs="Arial"/>
          <w:color w:val="000000" w:themeColor="text1"/>
          <w:sz w:val="21"/>
          <w:szCs w:val="21"/>
        </w:rPr>
        <w:t>[…]</w:t>
      </w:r>
    </w:p>
    <w:p w14:paraId="5FE2CDF8" w14:textId="77777777" w:rsidR="00FE7B6C" w:rsidRPr="002D3374" w:rsidRDefault="00FE7B6C" w:rsidP="00FE7B6C">
      <w:pPr>
        <w:tabs>
          <w:tab w:val="left" w:pos="8505"/>
        </w:tabs>
        <w:spacing w:after="0" w:line="240" w:lineRule="auto"/>
        <w:ind w:left="709" w:right="709"/>
        <w:jc w:val="both"/>
        <w:rPr>
          <w:rFonts w:ascii="Verdana" w:hAnsi="Verdana" w:cs="Arial"/>
          <w:color w:val="000000" w:themeColor="text1"/>
          <w:sz w:val="21"/>
          <w:szCs w:val="21"/>
        </w:rPr>
      </w:pPr>
      <w:r w:rsidRPr="002D3374">
        <w:rPr>
          <w:rFonts w:ascii="Verdana" w:hAnsi="Verdana" w:cs="Arial"/>
          <w:color w:val="000000" w:themeColor="text1"/>
          <w:sz w:val="21"/>
          <w:szCs w:val="21"/>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sidRPr="002D3374">
        <w:rPr>
          <w:rStyle w:val="FootnoteReference"/>
          <w:rFonts w:ascii="Verdana" w:hAnsi="Verdana" w:cs="Arial"/>
          <w:color w:val="000000" w:themeColor="text1"/>
          <w:sz w:val="21"/>
          <w:szCs w:val="21"/>
        </w:rPr>
        <w:footnoteReference w:id="27"/>
      </w:r>
      <w:r w:rsidRPr="002D3374">
        <w:rPr>
          <w:rFonts w:ascii="Verdana" w:hAnsi="Verdana" w:cs="Arial"/>
          <w:color w:val="000000" w:themeColor="text1"/>
          <w:sz w:val="21"/>
          <w:szCs w:val="21"/>
        </w:rPr>
        <w:t xml:space="preserve">. (Énfasis dentro del texto)               </w:t>
      </w:r>
    </w:p>
    <w:p w14:paraId="1B04973C" w14:textId="77777777" w:rsidR="00FE7B6C" w:rsidRPr="002775BB" w:rsidRDefault="00FE7B6C" w:rsidP="00FE7B6C">
      <w:pPr>
        <w:tabs>
          <w:tab w:val="left" w:pos="709"/>
        </w:tabs>
        <w:spacing w:after="0" w:line="276" w:lineRule="auto"/>
        <w:ind w:firstLine="709"/>
        <w:jc w:val="both"/>
        <w:rPr>
          <w:rFonts w:ascii="Verdana" w:hAnsi="Verdana" w:cs="Arial"/>
          <w:color w:val="000000" w:themeColor="text1"/>
        </w:rPr>
      </w:pPr>
    </w:p>
    <w:p w14:paraId="1A2AA11B" w14:textId="77777777" w:rsidR="00FE7B6C" w:rsidRPr="002F7E6A" w:rsidRDefault="00FE7B6C" w:rsidP="00FE7B6C">
      <w:pPr>
        <w:tabs>
          <w:tab w:val="left" w:pos="709"/>
        </w:tabs>
        <w:spacing w:after="12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ello, ante la necesidad de proteger a determinados sujetos, el ordenamiento jurídico exige que se actúe a través de terceros, bien sea para adquirir derechos o contraer obligaciones. No en vano, el Código Civil dispone que </w:t>
      </w:r>
      <w:r>
        <w:rPr>
          <w:rFonts w:ascii="Verdana" w:hAnsi="Verdana" w:cs="Arial"/>
          <w:color w:val="000000" w:themeColor="text1"/>
        </w:rPr>
        <w:t>“</w:t>
      </w:r>
      <w:r w:rsidRPr="002F7E6A">
        <w:rPr>
          <w:rFonts w:ascii="Verdana" w:hAnsi="Verdana" w:cs="Arial"/>
          <w:color w:val="000000" w:themeColor="text1"/>
        </w:rPr>
        <w:t>La capacidad legal de una persona consiste en poderse obligar por sí misma, y sin el ministerio o la autorización de otra</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inciso 2 del artículo 1502</w:t>
      </w:r>
      <w:r>
        <w:rPr>
          <w:rFonts w:ascii="Verdana" w:hAnsi="Verdana" w:cs="Arial"/>
          <w:color w:val="000000" w:themeColor="text1"/>
        </w:rPr>
        <w:t>–</w:t>
      </w:r>
      <w:r w:rsidRPr="002F7E6A">
        <w:rPr>
          <w:rFonts w:ascii="Verdana" w:hAnsi="Verdana" w:cs="Arial"/>
          <w:color w:val="000000" w:themeColor="text1"/>
        </w:rPr>
        <w:t xml:space="preserve"> y que </w:t>
      </w:r>
      <w:r>
        <w:rPr>
          <w:rFonts w:ascii="Verdana" w:hAnsi="Verdana" w:cs="Arial"/>
          <w:color w:val="000000" w:themeColor="text1"/>
        </w:rPr>
        <w:t>“</w:t>
      </w:r>
      <w:r w:rsidRPr="002F7E6A">
        <w:rPr>
          <w:rFonts w:ascii="Verdana" w:hAnsi="Verdana" w:cs="Arial"/>
          <w:color w:val="000000" w:themeColor="text1"/>
        </w:rPr>
        <w:t>Toda persona es legalmente capaz, excepto aquéllas que la ley declara incapaces</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artículo 1503</w:t>
      </w:r>
      <w:r>
        <w:rPr>
          <w:rFonts w:ascii="Verdana" w:hAnsi="Verdana" w:cs="Arial"/>
          <w:color w:val="000000" w:themeColor="text1"/>
        </w:rPr>
        <w:t>–</w:t>
      </w:r>
      <w:r>
        <w:rPr>
          <w:rStyle w:val="FootnoteReference"/>
          <w:rFonts w:ascii="Verdana" w:hAnsi="Verdana" w:cs="Arial"/>
          <w:color w:val="000000" w:themeColor="text1"/>
        </w:rPr>
        <w:footnoteReference w:id="28"/>
      </w:r>
      <w:r w:rsidRPr="002F7E6A">
        <w:rPr>
          <w:rFonts w:ascii="Verdana" w:hAnsi="Verdana" w:cs="Arial"/>
          <w:color w:val="000000" w:themeColor="text1"/>
        </w:rPr>
        <w:t>.</w:t>
      </w:r>
    </w:p>
    <w:p w14:paraId="70734725" w14:textId="77777777" w:rsidR="00FE7B6C" w:rsidRPr="00233FA0" w:rsidRDefault="00FE7B6C" w:rsidP="00FE7B6C">
      <w:pPr>
        <w:spacing w:after="120" w:line="276" w:lineRule="auto"/>
        <w:ind w:firstLine="708"/>
        <w:jc w:val="both"/>
        <w:rPr>
          <w:rFonts w:ascii="Verdana" w:hAnsi="Verdana" w:cs="Arial"/>
          <w:color w:val="000000" w:themeColor="text1"/>
          <w:lang w:val="es-ES_tradnl"/>
        </w:rPr>
      </w:pPr>
      <w:r w:rsidRPr="002F7E6A">
        <w:rPr>
          <w:rFonts w:ascii="Verdana" w:hAnsi="Verdana" w:cs="Arial"/>
          <w:color w:val="000000" w:themeColor="text1"/>
        </w:rPr>
        <w:t xml:space="preserve">Para el Consejo de Estado </w:t>
      </w:r>
      <w:r>
        <w:rPr>
          <w:rFonts w:ascii="Verdana" w:hAnsi="Verdana" w:cs="Arial"/>
          <w:color w:val="000000" w:themeColor="text1"/>
        </w:rPr>
        <w:t>“</w:t>
      </w:r>
      <w:r w:rsidRPr="002F7E6A">
        <w:rPr>
          <w:rFonts w:ascii="Verdana" w:hAnsi="Verdana" w:cs="Arial"/>
          <w:color w:val="000000" w:themeColor="text1"/>
        </w:rPr>
        <w:t xml:space="preserve">[…]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2F7E6A">
        <w:rPr>
          <w:rFonts w:ascii="Verdana" w:hAnsi="Verdana" w:cs="Arial"/>
          <w:color w:val="000000" w:themeColor="text1"/>
        </w:rPr>
        <w:t>iter</w:t>
      </w:r>
      <w:proofErr w:type="spellEnd"/>
      <w:r w:rsidRPr="002F7E6A">
        <w:rPr>
          <w:rFonts w:ascii="Verdana" w:hAnsi="Verdana" w:cs="Arial"/>
          <w:color w:val="000000" w:themeColor="text1"/>
        </w:rPr>
        <w:t xml:space="preserve"> contractual</w:t>
      </w:r>
      <w:r>
        <w:rPr>
          <w:rFonts w:ascii="Verdana" w:hAnsi="Verdana" w:cs="Arial"/>
          <w:color w:val="000000" w:themeColor="text1"/>
        </w:rPr>
        <w:t>”</w:t>
      </w:r>
      <w:r w:rsidRPr="002F7E6A">
        <w:rPr>
          <w:rStyle w:val="FootnoteReference"/>
          <w:rFonts w:ascii="Verdana" w:hAnsi="Verdana" w:cs="Arial"/>
          <w:color w:val="000000" w:themeColor="text1"/>
        </w:rPr>
        <w:footnoteReference w:id="29"/>
      </w:r>
      <w:r w:rsidRPr="002F7E6A">
        <w:rPr>
          <w:rFonts w:ascii="Verdana" w:hAnsi="Verdana" w:cs="Arial"/>
          <w:color w:val="000000" w:themeColor="text1"/>
        </w:rPr>
        <w:t xml:space="preserve">. </w:t>
      </w:r>
      <w:r w:rsidRPr="008E1B7D">
        <w:rPr>
          <w:rFonts w:ascii="Verdana" w:hAnsi="Verdana" w:cs="Arial"/>
          <w:color w:val="000000" w:themeColor="text1"/>
        </w:rPr>
        <w:t xml:space="preserve">Si bien las inhabilidades y las </w:t>
      </w:r>
      <w:r w:rsidRPr="008E1B7D">
        <w:rPr>
          <w:rFonts w:ascii="Verdana" w:hAnsi="Verdana" w:cs="Arial"/>
          <w:color w:val="000000" w:themeColor="text1"/>
        </w:rPr>
        <w:lastRenderedPageBreak/>
        <w:t>incompatibilidades guardan relación con las incapacidades particulares que consisten en la prohibición que la ley ha impuesto a ciertas personas para ejecutar ciertos actos</w:t>
      </w:r>
      <w:r w:rsidRPr="008E1B7D">
        <w:rPr>
          <w:rStyle w:val="FootnoteReference"/>
          <w:rFonts w:ascii="Verdana" w:hAnsi="Verdana" w:cs="Arial"/>
          <w:color w:val="000000" w:themeColor="text1"/>
        </w:rPr>
        <w:footnoteReference w:id="30"/>
      </w:r>
      <w:r w:rsidRPr="008E1B7D">
        <w:rPr>
          <w:rFonts w:ascii="Verdana" w:hAnsi="Verdana" w:cs="Arial"/>
          <w:color w:val="000000" w:themeColor="text1"/>
        </w:rPr>
        <w:t xml:space="preserve">, para efectos de la capacidad de ejercicio, </w:t>
      </w:r>
      <w:r w:rsidRPr="002F7E6A">
        <w:rPr>
          <w:rFonts w:ascii="Verdana" w:hAnsi="Verdana" w:cs="Arial"/>
          <w:color w:val="000000" w:themeColor="text1"/>
        </w:rPr>
        <w:t>es necesario estarse a lo dispuesto en inciso 1 del artículo 34 del Código Civil.</w:t>
      </w:r>
      <w:r>
        <w:rPr>
          <w:rFonts w:ascii="Verdana" w:hAnsi="Verdana" w:cs="Arial"/>
          <w:color w:val="000000" w:themeColor="text1"/>
          <w:lang w:val="es-ES_tradnl"/>
        </w:rPr>
        <w:t xml:space="preserve"> </w:t>
      </w:r>
    </w:p>
    <w:p w14:paraId="117D5B71" w14:textId="77777777" w:rsidR="00FE7B6C" w:rsidRPr="00075612" w:rsidRDefault="00FE7B6C" w:rsidP="00FE7B6C">
      <w:pPr>
        <w:spacing w:before="120" w:after="120" w:line="276" w:lineRule="auto"/>
        <w:ind w:firstLine="709"/>
        <w:jc w:val="both"/>
        <w:rPr>
          <w:rFonts w:ascii="Verdana" w:eastAsia="Calibri" w:hAnsi="Verdana" w:cs="Arial"/>
          <w:lang w:val="es-ES" w:eastAsia="es-ES"/>
        </w:rPr>
      </w:pPr>
      <w:r>
        <w:rPr>
          <w:rFonts w:ascii="Verdana" w:hAnsi="Verdana" w:cs="Arial"/>
          <w:color w:val="000000" w:themeColor="text1"/>
          <w:lang w:val="es-ES_tradnl"/>
        </w:rPr>
        <w:t xml:space="preserve">En relación con las </w:t>
      </w:r>
      <w:r w:rsidRPr="002775BB">
        <w:rPr>
          <w:rFonts w:ascii="Verdana" w:hAnsi="Verdana" w:cs="Arial"/>
          <w:i/>
          <w:iCs/>
          <w:color w:val="000000" w:themeColor="text1"/>
          <w:lang w:val="es-ES_tradnl"/>
        </w:rPr>
        <w:t>personas jurídicas</w:t>
      </w:r>
      <w:r>
        <w:rPr>
          <w:rFonts w:ascii="Verdana" w:hAnsi="Verdana" w:cs="Arial"/>
          <w:color w:val="000000" w:themeColor="text1"/>
          <w:lang w:val="es-ES_tradnl"/>
        </w:rPr>
        <w:t xml:space="preserve">, su </w:t>
      </w:r>
      <w:r>
        <w:rPr>
          <w:rFonts w:ascii="Verdana" w:eastAsia="Calibri" w:hAnsi="Verdana" w:cs="Arial"/>
          <w:lang w:val="es-ES_tradnl"/>
        </w:rPr>
        <w:t>existencia es independiente de quienes la integran. S</w:t>
      </w:r>
      <w:proofErr w:type="spellStart"/>
      <w:r w:rsidRPr="008808A6">
        <w:rPr>
          <w:rFonts w:ascii="Verdana" w:eastAsia="Calibri" w:hAnsi="Verdana" w:cs="Arial"/>
          <w:lang w:val="es-ES"/>
        </w:rPr>
        <w:t>on</w:t>
      </w:r>
      <w:proofErr w:type="spellEnd"/>
      <w:r w:rsidRPr="008808A6">
        <w:rPr>
          <w:rFonts w:ascii="Verdana" w:eastAsia="Calibri" w:hAnsi="Verdana" w:cs="Arial"/>
          <w:lang w:val="es-ES"/>
        </w:rPr>
        <w:t xml:space="preserve"> entes ficticios con capacidad autónoma para ejercer derechos y contraer obligaciones –</w:t>
      </w:r>
      <w:r w:rsidRPr="008808A6">
        <w:rPr>
          <w:rFonts w:ascii="Verdana" w:eastAsia="Calibri" w:hAnsi="Verdana" w:cs="Arial"/>
          <w:color w:val="000000" w:themeColor="text1"/>
        </w:rPr>
        <w:t>art</w:t>
      </w:r>
      <w:r>
        <w:rPr>
          <w:rFonts w:ascii="Verdana" w:eastAsia="Calibri" w:hAnsi="Verdana" w:cs="Arial"/>
          <w:color w:val="000000" w:themeColor="text1"/>
        </w:rPr>
        <w:t>ículo</w:t>
      </w:r>
      <w:r w:rsidRPr="008808A6">
        <w:rPr>
          <w:rFonts w:ascii="Verdana" w:eastAsia="Calibri" w:hAnsi="Verdana" w:cs="Arial"/>
          <w:color w:val="000000" w:themeColor="text1"/>
        </w:rPr>
        <w:t xml:space="preserve"> 633 del Código Civil–</w:t>
      </w:r>
      <w:r w:rsidRPr="008808A6">
        <w:rPr>
          <w:rStyle w:val="FootnoteReference"/>
          <w:rFonts w:ascii="Verdana" w:eastAsia="Calibri" w:hAnsi="Verdana" w:cs="Arial"/>
          <w:color w:val="000000" w:themeColor="text1"/>
        </w:rPr>
        <w:footnoteReference w:id="31"/>
      </w:r>
      <w:r>
        <w:rPr>
          <w:rFonts w:ascii="Verdana" w:eastAsia="Calibri" w:hAnsi="Verdana" w:cs="Arial"/>
          <w:color w:val="000000" w:themeColor="text1"/>
        </w:rPr>
        <w:t>; razón por la cual, a</w:t>
      </w:r>
      <w:r w:rsidRPr="008808A6">
        <w:rPr>
          <w:rFonts w:ascii="Verdana" w:eastAsia="Calibri" w:hAnsi="Verdana" w:cs="Arial"/>
          <w:color w:val="000000" w:themeColor="text1"/>
        </w:rPr>
        <w:t xml:space="preserve">unque </w:t>
      </w:r>
      <w:r>
        <w:rPr>
          <w:rFonts w:ascii="Verdana" w:eastAsia="Calibri" w:hAnsi="Verdana" w:cs="Arial"/>
          <w:color w:val="000000" w:themeColor="text1"/>
        </w:rPr>
        <w:t>la</w:t>
      </w:r>
      <w:r w:rsidRPr="008808A6">
        <w:rPr>
          <w:rFonts w:ascii="Verdana" w:eastAsia="Calibri" w:hAnsi="Verdana" w:cs="Arial"/>
          <w:color w:val="000000" w:themeColor="text1"/>
        </w:rPr>
        <w:t xml:space="preserve"> participación </w:t>
      </w:r>
      <w:r>
        <w:rPr>
          <w:rFonts w:ascii="Verdana" w:eastAsia="Calibri" w:hAnsi="Verdana" w:cs="Arial"/>
          <w:color w:val="000000" w:themeColor="text1"/>
        </w:rPr>
        <w:t>corresponda a</w:t>
      </w:r>
      <w:r w:rsidRPr="008808A6">
        <w:rPr>
          <w:rFonts w:ascii="Verdana" w:eastAsia="Calibri" w:hAnsi="Verdana" w:cs="Arial"/>
          <w:color w:val="000000" w:themeColor="text1"/>
        </w:rPr>
        <w:t xml:space="preserve"> otros sujetos de derecho, </w:t>
      </w:r>
      <w:r>
        <w:rPr>
          <w:rFonts w:ascii="Verdana" w:eastAsia="Calibri" w:hAnsi="Verdana" w:cs="Arial"/>
          <w:color w:val="000000" w:themeColor="text1"/>
        </w:rPr>
        <w:t>dichos entes</w:t>
      </w:r>
      <w:r w:rsidRPr="008808A6">
        <w:rPr>
          <w:rFonts w:ascii="Verdana" w:eastAsia="Calibri" w:hAnsi="Verdana" w:cs="Arial"/>
          <w:color w:val="000000" w:themeColor="text1"/>
        </w:rPr>
        <w:t xml:space="preserve"> tienen personería jurídica diferente de los socios individualmente considerados</w:t>
      </w:r>
      <w:r>
        <w:rPr>
          <w:rFonts w:ascii="Verdana" w:eastAsia="Calibri" w:hAnsi="Verdana" w:cs="Arial"/>
          <w:color w:val="000000" w:themeColor="text1"/>
        </w:rPr>
        <w:t xml:space="preserve"> </w:t>
      </w:r>
      <w:r w:rsidRPr="0089670F">
        <w:rPr>
          <w:rFonts w:ascii="Verdana" w:eastAsia="Calibri" w:hAnsi="Verdana" w:cs="Arial"/>
          <w:color w:val="000000" w:themeColor="text1"/>
        </w:rPr>
        <w:t>–art</w:t>
      </w:r>
      <w:r>
        <w:rPr>
          <w:rFonts w:ascii="Verdana" w:eastAsia="Calibri" w:hAnsi="Verdana" w:cs="Arial"/>
          <w:color w:val="000000" w:themeColor="text1"/>
        </w:rPr>
        <w:t>ículo</w:t>
      </w:r>
      <w:r w:rsidRPr="0089670F">
        <w:rPr>
          <w:rFonts w:ascii="Verdana" w:eastAsia="Calibri" w:hAnsi="Verdana" w:cs="Arial"/>
          <w:color w:val="000000" w:themeColor="text1"/>
        </w:rPr>
        <w:t xml:space="preserve"> 98, inc</w:t>
      </w:r>
      <w:r>
        <w:rPr>
          <w:rFonts w:ascii="Verdana" w:eastAsia="Calibri" w:hAnsi="Verdana" w:cs="Arial"/>
          <w:color w:val="000000" w:themeColor="text1"/>
        </w:rPr>
        <w:t>iso</w:t>
      </w:r>
      <w:r w:rsidRPr="0089670F">
        <w:rPr>
          <w:rFonts w:ascii="Verdana" w:eastAsia="Calibri" w:hAnsi="Verdana" w:cs="Arial"/>
          <w:color w:val="000000" w:themeColor="text1"/>
        </w:rPr>
        <w:t xml:space="preserve"> 2, del Código de Comercio–</w:t>
      </w:r>
      <w:r w:rsidRPr="008808A6">
        <w:rPr>
          <w:rStyle w:val="FootnoteReference"/>
          <w:rFonts w:ascii="Verdana" w:eastAsia="Calibri" w:hAnsi="Verdana" w:cs="Arial"/>
          <w:color w:val="000000" w:themeColor="text1"/>
        </w:rPr>
        <w:footnoteReference w:id="32"/>
      </w:r>
      <w:r w:rsidRPr="008808A6">
        <w:rPr>
          <w:rFonts w:ascii="Verdana" w:eastAsia="Calibri" w:hAnsi="Verdana" w:cs="Arial"/>
          <w:color w:val="000000" w:themeColor="text1"/>
        </w:rPr>
        <w:t xml:space="preserve">. De esta manera, “[…] todas estas colectividades se presentan como independientes y distintas de los seres humanos que las constituyen; desaparece en cierta medida la </w:t>
      </w:r>
      <w:r w:rsidRPr="008808A6">
        <w:rPr>
          <w:rFonts w:ascii="Verdana" w:eastAsia="Calibri" w:hAnsi="Verdana" w:cs="Arial"/>
          <w:color w:val="000000" w:themeColor="text1"/>
        </w:rPr>
        <w:lastRenderedPageBreak/>
        <w:t>individualidad de estos; y se forma un ser jurídico distinto de ellos con vida propia […]”</w:t>
      </w:r>
      <w:r w:rsidRPr="008808A6">
        <w:rPr>
          <w:rStyle w:val="FootnoteReference"/>
          <w:rFonts w:ascii="Verdana" w:eastAsia="Calibri" w:hAnsi="Verdana" w:cs="Arial"/>
          <w:color w:val="000000" w:themeColor="text1"/>
        </w:rPr>
        <w:footnoteReference w:id="33"/>
      </w:r>
      <w:r w:rsidRPr="008808A6">
        <w:rPr>
          <w:rFonts w:ascii="Verdana" w:eastAsia="Calibri" w:hAnsi="Verdana" w:cs="Arial"/>
          <w:color w:val="000000" w:themeColor="text1"/>
        </w:rPr>
        <w:t xml:space="preserve">. </w:t>
      </w:r>
    </w:p>
    <w:p w14:paraId="1129C16A" w14:textId="77777777" w:rsidR="00FE7B6C" w:rsidRDefault="00FE7B6C" w:rsidP="00FE7B6C">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Conforme al “</w:t>
      </w:r>
      <w:r w:rsidRPr="00DE0124">
        <w:rPr>
          <w:rFonts w:ascii="Verdana" w:eastAsia="Calibri" w:hAnsi="Verdana" w:cs="Arial"/>
          <w:color w:val="000000" w:themeColor="text1"/>
        </w:rPr>
        <w:t xml:space="preserve">Manual </w:t>
      </w:r>
      <w:r>
        <w:rPr>
          <w:rFonts w:ascii="Verdana" w:eastAsia="Calibri" w:hAnsi="Verdana" w:cs="Arial"/>
          <w:color w:val="000000" w:themeColor="text1"/>
        </w:rPr>
        <w:t>p</w:t>
      </w:r>
      <w:r w:rsidRPr="00DE0124">
        <w:rPr>
          <w:rFonts w:ascii="Verdana" w:eastAsia="Calibri" w:hAnsi="Verdana" w:cs="Arial"/>
          <w:color w:val="000000" w:themeColor="text1"/>
        </w:rPr>
        <w:t xml:space="preserve">ara </w:t>
      </w:r>
      <w:r w:rsidRPr="009331A6">
        <w:rPr>
          <w:rFonts w:ascii="Verdana" w:eastAsia="Calibri" w:hAnsi="Verdana" w:cs="Arial"/>
          <w:color w:val="000000" w:themeColor="text1"/>
        </w:rPr>
        <w:t xml:space="preserve">Determinar y Verificar los Requisitos Habilitantes en los Procesos De Contratación” expedido por la Agencia, </w:t>
      </w:r>
      <w:r>
        <w:rPr>
          <w:rFonts w:ascii="Verdana" w:eastAsia="Calibri" w:hAnsi="Verdana" w:cs="Arial"/>
          <w:color w:val="000000" w:themeColor="text1"/>
        </w:rPr>
        <w:t>l</w:t>
      </w:r>
      <w:r w:rsidRPr="009331A6">
        <w:rPr>
          <w:rFonts w:ascii="Verdana" w:eastAsia="Calibri" w:hAnsi="Verdana" w:cs="Arial"/>
          <w:color w:val="000000" w:themeColor="text1"/>
        </w:rPr>
        <w:t>a capacidad de las personas jurídicas está relacionada con</w:t>
      </w:r>
      <w:r>
        <w:rPr>
          <w:rFonts w:ascii="Verdana" w:eastAsia="Calibri" w:hAnsi="Verdana" w:cs="Arial"/>
          <w:color w:val="000000" w:themeColor="text1"/>
        </w:rPr>
        <w:t xml:space="preserve"> los siguientes aspectos</w:t>
      </w:r>
      <w:r w:rsidRPr="009331A6">
        <w:rPr>
          <w:rFonts w:ascii="Verdana" w:eastAsia="Calibri" w:hAnsi="Verdana" w:cs="Arial"/>
          <w:color w:val="000000" w:themeColor="text1"/>
        </w:rPr>
        <w:t xml:space="preserve">: i) la posibilidad de adelantar actividades en el marco de su objeto social; </w:t>
      </w:r>
      <w:proofErr w:type="spellStart"/>
      <w:r w:rsidRPr="009331A6">
        <w:rPr>
          <w:rFonts w:ascii="Verdana" w:eastAsia="Calibri" w:hAnsi="Verdana" w:cs="Arial"/>
          <w:color w:val="000000" w:themeColor="text1"/>
        </w:rPr>
        <w:t>ii</w:t>
      </w:r>
      <w:proofErr w:type="spellEnd"/>
      <w:r w:rsidRPr="009331A6">
        <w:rPr>
          <w:rFonts w:ascii="Verdana" w:eastAsia="Calibri" w:hAnsi="Verdana" w:cs="Arial"/>
          <w:color w:val="000000" w:themeColor="text1"/>
        </w:rPr>
        <w:t xml:space="preserve">) las facultades de su representante legal y la autorización del órgano social competente cuando esto es necesario de acuerdo con sus estatutos; y </w:t>
      </w:r>
      <w:proofErr w:type="spellStart"/>
      <w:r w:rsidRPr="009331A6">
        <w:rPr>
          <w:rFonts w:ascii="Verdana" w:eastAsia="Calibri" w:hAnsi="Verdana" w:cs="Arial"/>
          <w:color w:val="000000" w:themeColor="text1"/>
        </w:rPr>
        <w:t>iii</w:t>
      </w:r>
      <w:proofErr w:type="spellEnd"/>
      <w:r w:rsidRPr="009331A6">
        <w:rPr>
          <w:rFonts w:ascii="Verdana" w:eastAsia="Calibri" w:hAnsi="Verdana" w:cs="Arial"/>
          <w:color w:val="000000" w:themeColor="text1"/>
        </w:rPr>
        <w:t>) la ausencia de inhabilidades, incompatibilidades, conflicto de intereses o prohibiciones para contratar, derivadas de la ley.</w:t>
      </w:r>
    </w:p>
    <w:p w14:paraId="09EDBE4D" w14:textId="77777777" w:rsidR="00FE7B6C" w:rsidRPr="00DD69B4" w:rsidRDefault="00FE7B6C" w:rsidP="00FE7B6C">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Sobre la capacidad relacionada con </w:t>
      </w:r>
      <w:r w:rsidRPr="009331A6">
        <w:rPr>
          <w:rFonts w:ascii="Verdana" w:eastAsia="Calibri" w:hAnsi="Verdana" w:cs="Arial"/>
          <w:color w:val="000000" w:themeColor="text1"/>
        </w:rPr>
        <w:t>las facultades de su representante legal y la autorización del órgano social competente</w:t>
      </w:r>
      <w:r>
        <w:rPr>
          <w:rFonts w:ascii="Verdana" w:eastAsia="Calibri" w:hAnsi="Verdana" w:cs="Arial"/>
          <w:color w:val="000000" w:themeColor="text1"/>
        </w:rPr>
        <w:t xml:space="preserve">, </w:t>
      </w:r>
      <w:r>
        <w:rPr>
          <w:rFonts w:ascii="Verdana" w:hAnsi="Verdana" w:cs="Arial"/>
        </w:rPr>
        <w:t>el artículo 196 del Código de Comercio señala que la representación de la sociedad se ajusta a las estipulaciones del contrato social y, a falta de ellas, se entiende que el representante legal puede celebrar todos los actos comprendidos dentro del objeto social; además, “Las limitaciones o restricciones de las facultades anteriores que no consten expresamente en el contrato social inscrito en el registro mercantil no serán oponibles a terceros”. Las entidades sin ánimo de lucro, por su parte, inscriben sus estatutos, reformas y nombramientos de administradores en las cámaras de comercio en los términos del artículo 42 del Decreto 2150 de 1995.</w:t>
      </w:r>
    </w:p>
    <w:p w14:paraId="00AA4BB2"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La Guía de Asuntos Corporativos en los Procesos de Contratación de esta Agencia explica que </w:t>
      </w:r>
      <w:r w:rsidRPr="00233FA0">
        <w:rPr>
          <w:rFonts w:ascii="Verdana" w:hAnsi="Verdana" w:cs="Arial"/>
        </w:rPr>
        <w:t>si no se establecen limitaciones</w:t>
      </w:r>
      <w:r>
        <w:rPr>
          <w:rFonts w:ascii="Verdana" w:hAnsi="Verdana" w:cs="Arial"/>
        </w:rPr>
        <w:t xml:space="preserve"> a las facultades y actuación del representante legal</w:t>
      </w:r>
      <w:r w:rsidRPr="00233FA0">
        <w:rPr>
          <w:rFonts w:ascii="Verdana" w:hAnsi="Verdana" w:cs="Arial"/>
        </w:rPr>
        <w:t xml:space="preserve"> se entiende que tiene todas las necesarias para ejercer</w:t>
      </w:r>
      <w:r>
        <w:rPr>
          <w:rFonts w:ascii="Verdana" w:hAnsi="Verdana" w:cs="Arial"/>
        </w:rPr>
        <w:t xml:space="preserve">la; </w:t>
      </w:r>
      <w:r w:rsidRPr="00233FA0">
        <w:rPr>
          <w:rFonts w:ascii="Verdana" w:hAnsi="Verdana" w:cs="Arial"/>
        </w:rPr>
        <w:t>cuando existen</w:t>
      </w:r>
      <w:r>
        <w:rPr>
          <w:rFonts w:ascii="Verdana" w:hAnsi="Verdana" w:cs="Arial"/>
        </w:rPr>
        <w:t xml:space="preserve"> limitaciones</w:t>
      </w:r>
      <w:r w:rsidRPr="00233FA0">
        <w:rPr>
          <w:rFonts w:ascii="Verdana" w:hAnsi="Verdana" w:cs="Arial"/>
        </w:rPr>
        <w:t>, los estatutos definen la forma en la que deben solicitarse las respectivas autorizaciones para poder actuar.</w:t>
      </w:r>
      <w:r>
        <w:rPr>
          <w:rFonts w:ascii="Verdana" w:hAnsi="Verdana" w:cs="Arial"/>
        </w:rPr>
        <w:t xml:space="preserve"> Cuando la oferta o el contrato exceden las facultades del representante legal por su naturaleza, monto o actividad, la persona jurídica no puede actuar a menos que este reciba las autorizaciones correspondientes </w:t>
      </w:r>
      <w:r w:rsidRPr="00E84909">
        <w:rPr>
          <w:rFonts w:ascii="Verdana" w:hAnsi="Verdana" w:cs="Arial"/>
        </w:rPr>
        <w:t>del órgano social competente conforme a los estatutos</w:t>
      </w:r>
      <w:r>
        <w:rPr>
          <w:rFonts w:ascii="Verdana" w:hAnsi="Verdana" w:cs="Arial"/>
        </w:rPr>
        <w:t>; para ello, este debe reunirse,</w:t>
      </w:r>
      <w:r w:rsidRPr="00E84909">
        <w:rPr>
          <w:rFonts w:ascii="Verdana" w:hAnsi="Verdana" w:cs="Arial"/>
        </w:rPr>
        <w:t xml:space="preserve"> facultar al representante para presentar la propuesta o celebrar el contrato y acreditar la autorización mediante un acta</w:t>
      </w:r>
      <w:r>
        <w:rPr>
          <w:rFonts w:ascii="Verdana" w:hAnsi="Verdana" w:cs="Arial"/>
        </w:rPr>
        <w:t xml:space="preserve">. En cuanto a la verificación, la Guía indica que las Entidades Estatales deben solicitar y verificar el certificado de existencia y representación legal y </w:t>
      </w:r>
      <w:r>
        <w:rPr>
          <w:rFonts w:ascii="Verdana" w:hAnsi="Verdana" w:cs="Arial"/>
        </w:rPr>
        <w:lastRenderedPageBreak/>
        <w:t xml:space="preserve">confirmar que el representante tiene facultades suficientes o, si no las tiene, que existe la autorización del órgano social, acreditada </w:t>
      </w:r>
      <w:r w:rsidRPr="00E84909">
        <w:rPr>
          <w:rFonts w:ascii="Verdana" w:hAnsi="Verdana" w:cs="Arial"/>
          <w:i/>
          <w:iCs/>
        </w:rPr>
        <w:t>mediante acta</w:t>
      </w:r>
      <w:r>
        <w:rPr>
          <w:rStyle w:val="FootnoteReference"/>
          <w:rFonts w:ascii="Verdana" w:hAnsi="Verdana" w:cs="Arial"/>
        </w:rPr>
        <w:footnoteReference w:id="34"/>
      </w:r>
      <w:r>
        <w:rPr>
          <w:rFonts w:ascii="Verdana" w:hAnsi="Verdana" w:cs="Arial"/>
        </w:rPr>
        <w:t>.</w:t>
      </w:r>
    </w:p>
    <w:p w14:paraId="2026963A"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De acuerdo con lo anterior, los documentos con los que se acredita la autorización son, por regla general, el i) certificado de existencia y representación legal, que da cuenta de las facultades y limitaciones inscritas y, por tanto, del órgano competente para autorizar; y </w:t>
      </w:r>
      <w:proofErr w:type="spellStart"/>
      <w:r>
        <w:rPr>
          <w:rFonts w:ascii="Verdana" w:hAnsi="Verdana" w:cs="Arial"/>
        </w:rPr>
        <w:t>ii</w:t>
      </w:r>
      <w:proofErr w:type="spellEnd"/>
      <w:r>
        <w:rPr>
          <w:rFonts w:ascii="Verdana" w:hAnsi="Verdana" w:cs="Arial"/>
        </w:rPr>
        <w:t xml:space="preserve">) el acta del órgano social en la que conste la decisión. La entidad puede consultar los estatutos cuando resulten necesarios porque las limitaciones del representante o la competencia del órgano que autoriza no se identifican en el certificado. Con base en estos documentos, la Entidad debe verificar: i) que el órgano que otorga la autorización es el competente según el certificado o los estatutos; </w:t>
      </w:r>
      <w:proofErr w:type="spellStart"/>
      <w:r>
        <w:rPr>
          <w:rFonts w:ascii="Verdana" w:hAnsi="Verdana" w:cs="Arial"/>
        </w:rPr>
        <w:t>ii</w:t>
      </w:r>
      <w:proofErr w:type="spellEnd"/>
      <w:r>
        <w:rPr>
          <w:rFonts w:ascii="Verdana" w:hAnsi="Verdana" w:cs="Arial"/>
        </w:rPr>
        <w:t xml:space="preserve">) que la autorización comprende la presentación de la oferta o la celebración del contrato objeto del proceso, y que cubre la cuantía respectiva; </w:t>
      </w:r>
      <w:proofErr w:type="spellStart"/>
      <w:r>
        <w:rPr>
          <w:rFonts w:ascii="Verdana" w:hAnsi="Verdana" w:cs="Arial"/>
        </w:rPr>
        <w:t>iii</w:t>
      </w:r>
      <w:proofErr w:type="spellEnd"/>
      <w:r>
        <w:rPr>
          <w:rFonts w:ascii="Verdana" w:hAnsi="Verdana" w:cs="Arial"/>
        </w:rPr>
        <w:t xml:space="preserve">) que la decisión fue adoptada antes del cierre del proceso; y </w:t>
      </w:r>
      <w:proofErr w:type="spellStart"/>
      <w:r>
        <w:rPr>
          <w:rFonts w:ascii="Verdana" w:hAnsi="Verdana" w:cs="Arial"/>
        </w:rPr>
        <w:t>iv</w:t>
      </w:r>
      <w:proofErr w:type="spellEnd"/>
      <w:r>
        <w:rPr>
          <w:rFonts w:ascii="Verdana" w:hAnsi="Verdana" w:cs="Arial"/>
        </w:rPr>
        <w:t>) que el acta está suscrita por quienes deben firmarla.</w:t>
      </w:r>
    </w:p>
    <w:p w14:paraId="035DE925" w14:textId="77777777" w:rsidR="00FE7B6C" w:rsidRDefault="00FE7B6C" w:rsidP="00FE7B6C">
      <w:pPr>
        <w:spacing w:after="120" w:line="276" w:lineRule="auto"/>
        <w:ind w:firstLine="709"/>
        <w:jc w:val="both"/>
        <w:rPr>
          <w:rFonts w:ascii="Verdana" w:hAnsi="Verdana" w:cs="Arial"/>
        </w:rPr>
      </w:pPr>
      <w:r>
        <w:rPr>
          <w:rFonts w:ascii="Verdana" w:hAnsi="Verdana" w:cs="Arial"/>
        </w:rPr>
        <w:t xml:space="preserve">La Entidad no puede exigir documentos adicionales para lo anterior que no estén previstos en la ley ni en el pliego de condiciones, como sería el caso de soportes de convocatoria, listas de asistencia, constancias de quórum o registros de votación para tener por acreditado el requisito. Es importante resaltar que el pliego de condiciones establece las reglas del proceso de selección y que, conforme al numeral 5 del artículo 24 de la Ley 80 de 1993, estas deben ser objetivas, justas, claras y completas. En consecuencia, la Entidad no puede introducir en la evaluación exigencias que no fueron previstas previamente en los documentos del proceso. Además, el numeral 15 del artículo 25 de la misma ley prohíbe a las autoridades exigir formalidades o exigencias rituales no previstas en forma perentoria y expresa en leyes especiales. </w:t>
      </w:r>
    </w:p>
    <w:p w14:paraId="44C5E6A7" w14:textId="77777777" w:rsidR="00FE7B6C" w:rsidRPr="00220A1D" w:rsidRDefault="00FE7B6C" w:rsidP="00FE7B6C">
      <w:pPr>
        <w:spacing w:after="120" w:line="276" w:lineRule="auto"/>
        <w:ind w:firstLine="709"/>
        <w:jc w:val="both"/>
        <w:rPr>
          <w:rFonts w:ascii="Verdana" w:eastAsia="Times New Roman" w:hAnsi="Verdana" w:cs="Arial"/>
          <w:lang w:val="es-ES" w:eastAsia="es-ES"/>
        </w:rPr>
      </w:pPr>
      <w:r w:rsidRPr="001D5207">
        <w:rPr>
          <w:rFonts w:ascii="Verdana" w:hAnsi="Verdana" w:cs="Arial"/>
        </w:rPr>
        <w:t xml:space="preserve">En todo caso, como se mencionó antes, la autorización del órgano social al representante legal es un aspecto subsanable, de modo que </w:t>
      </w:r>
      <w:r>
        <w:rPr>
          <w:rFonts w:ascii="Verdana" w:hAnsi="Verdana" w:cs="Arial"/>
        </w:rPr>
        <w:t xml:space="preserve">la entidad </w:t>
      </w:r>
      <w:r w:rsidRPr="001D5207">
        <w:rPr>
          <w:rFonts w:ascii="Verdana" w:hAnsi="Verdana" w:cs="Arial"/>
        </w:rPr>
        <w:t xml:space="preserve">debe requerir al proponente antes de rechazar la oferta por esta causa. Así lo ha reconocido el Consejo de Estado al distinguir entre la capacidad, que no es </w:t>
      </w:r>
      <w:r w:rsidRPr="001D5207">
        <w:rPr>
          <w:rFonts w:ascii="Verdana" w:hAnsi="Verdana" w:cs="Arial"/>
        </w:rPr>
        <w:lastRenderedPageBreak/>
        <w:t>subsanable, y la representación, que sí lo es, y al concluir que la autorización de la junta directiva al representante legal es un requisito subsanable</w:t>
      </w:r>
      <w:r w:rsidRPr="001D5207">
        <w:rPr>
          <w:rStyle w:val="FootnoteReference"/>
          <w:rFonts w:ascii="Verdana" w:hAnsi="Verdana" w:cs="Arial"/>
        </w:rPr>
        <w:footnoteReference w:id="35"/>
      </w:r>
      <w:r w:rsidRPr="001D5207">
        <w:rPr>
          <w:rFonts w:ascii="Verdana" w:hAnsi="Verdana" w:cs="Arial"/>
        </w:rPr>
        <w:t>.</w:t>
      </w:r>
      <w:r>
        <w:rPr>
          <w:rFonts w:ascii="Verdana" w:hAnsi="Verdana" w:cs="Arial"/>
        </w:rPr>
        <w:t xml:space="preserve"> Lo que se subsana, en todo caso, es la prueba de una autorización existente al cierre del proceso, conforme al criterio material de la Ley 1882 de 2018.</w:t>
      </w:r>
      <w:r w:rsidRPr="00220A1D">
        <w:rPr>
          <w:rFonts w:ascii="Verdana" w:eastAsia="Times New Roman" w:hAnsi="Verdana" w:cs="Arial"/>
          <w:lang w:val="es-ES" w:eastAsia="es-ES"/>
        </w:rPr>
        <w:t xml:space="preserve"> </w:t>
      </w:r>
      <w:r>
        <w:rPr>
          <w:rFonts w:ascii="Verdana" w:eastAsia="Times New Roman" w:hAnsi="Verdana" w:cs="Arial"/>
          <w:lang w:val="es-ES" w:eastAsia="es-ES"/>
        </w:rPr>
        <w:t xml:space="preserve">De modo que </w:t>
      </w:r>
      <w:r w:rsidRPr="00D16A5E">
        <w:rPr>
          <w:rFonts w:ascii="Verdana" w:eastAsia="Times New Roman" w:hAnsi="Verdana" w:cs="Arial"/>
          <w:lang w:val="es-ES" w:eastAsia="es-ES"/>
        </w:rPr>
        <w:t>si un oferente presentó la propuesta sin allegar la autorización al representante legal, por parte de la junta directiva de la sociedad, el certificado</w:t>
      </w:r>
      <w:r>
        <w:rPr>
          <w:rFonts w:ascii="Verdana" w:eastAsia="Times New Roman" w:hAnsi="Verdana" w:cs="Arial"/>
          <w:lang w:val="es-ES" w:eastAsia="es-ES"/>
        </w:rPr>
        <w:t xml:space="preserve"> o acta</w:t>
      </w:r>
      <w:r w:rsidRPr="00D16A5E">
        <w:rPr>
          <w:rFonts w:ascii="Verdana" w:eastAsia="Times New Roman" w:hAnsi="Verdana" w:cs="Arial"/>
          <w:lang w:val="es-ES" w:eastAsia="es-ES"/>
        </w:rPr>
        <w:t xml:space="preserve">, aunque </w:t>
      </w:r>
      <w:r>
        <w:rPr>
          <w:rFonts w:ascii="Verdana" w:eastAsia="Times New Roman" w:hAnsi="Verdana" w:cs="Arial"/>
          <w:lang w:val="es-ES" w:eastAsia="es-ES"/>
        </w:rPr>
        <w:t>haya sido expedido con</w:t>
      </w:r>
      <w:r w:rsidRPr="00D16A5E">
        <w:rPr>
          <w:rFonts w:ascii="Verdana" w:eastAsia="Times New Roman" w:hAnsi="Verdana" w:cs="Arial"/>
          <w:lang w:val="es-ES" w:eastAsia="es-ES"/>
        </w:rPr>
        <w:t xml:space="preserve"> posterior</w:t>
      </w:r>
      <w:r>
        <w:rPr>
          <w:rFonts w:ascii="Verdana" w:eastAsia="Times New Roman" w:hAnsi="Verdana" w:cs="Arial"/>
          <w:lang w:val="es-ES" w:eastAsia="es-ES"/>
        </w:rPr>
        <w:t>idad</w:t>
      </w:r>
      <w:r w:rsidRPr="00D16A5E">
        <w:rPr>
          <w:rFonts w:ascii="Verdana" w:eastAsia="Times New Roman" w:hAnsi="Verdana" w:cs="Arial"/>
          <w:lang w:val="es-ES" w:eastAsia="es-ES"/>
        </w:rPr>
        <w:t>, debe dar cuenta de que el hecho que pretende acreditar –la autorización de la junta– ocurrió antes del</w:t>
      </w:r>
      <w:r>
        <w:rPr>
          <w:rFonts w:ascii="Verdana" w:eastAsia="Times New Roman" w:hAnsi="Verdana" w:cs="Arial"/>
          <w:lang w:val="es-ES" w:eastAsia="es-ES"/>
        </w:rPr>
        <w:t xml:space="preserve"> cierre del proceso. </w:t>
      </w:r>
    </w:p>
    <w:p w14:paraId="772E6B52"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En cuanto al valor probatorio de las actas, el artículo 189 del Código de Comercio establece:</w:t>
      </w:r>
    </w:p>
    <w:p w14:paraId="4AD8186F" w14:textId="77777777" w:rsidR="00FE7B6C" w:rsidRPr="002D3374" w:rsidRDefault="00FE7B6C" w:rsidP="00FE7B6C">
      <w:pPr>
        <w:spacing w:after="0" w:line="240" w:lineRule="auto"/>
        <w:ind w:left="709" w:right="709"/>
        <w:jc w:val="both"/>
        <w:rPr>
          <w:rFonts w:ascii="Verdana" w:hAnsi="Verdana" w:cs="Arial"/>
          <w:sz w:val="21"/>
          <w:szCs w:val="21"/>
        </w:rPr>
      </w:pPr>
      <w:r w:rsidRPr="002D3374">
        <w:rPr>
          <w:rFonts w:ascii="Verdana" w:hAnsi="Verdana" w:cs="Arial"/>
          <w:sz w:val="21"/>
          <w:szCs w:val="21"/>
        </w:rPr>
        <w:t>“Las decisiones de la junta de socios o de la asamblea se harán constar en actas aprobadas por la misma, o por las personas que se designen en la reunión para tal efecto, y firmadas por el presidente y el secretario de la misma, en las cuales deberá indicarse, además, la forma en que hayan sido convocados los socios, los asistentes y los votos emitidos en cada caso.</w:t>
      </w:r>
    </w:p>
    <w:p w14:paraId="5F2E26AD" w14:textId="77777777" w:rsidR="00FE7B6C" w:rsidRPr="002D3374" w:rsidRDefault="00FE7B6C" w:rsidP="00FE7B6C">
      <w:pPr>
        <w:spacing w:after="0" w:line="240" w:lineRule="auto"/>
        <w:ind w:right="709"/>
        <w:jc w:val="both"/>
        <w:rPr>
          <w:rFonts w:ascii="Verdana" w:hAnsi="Verdana" w:cs="Arial"/>
          <w:sz w:val="13"/>
          <w:szCs w:val="13"/>
        </w:rPr>
      </w:pPr>
      <w:r w:rsidRPr="002D3374">
        <w:rPr>
          <w:rFonts w:ascii="Verdana" w:hAnsi="Verdana" w:cs="Arial"/>
        </w:rPr>
        <w:tab/>
      </w:r>
    </w:p>
    <w:p w14:paraId="088E9836" w14:textId="77777777" w:rsidR="00FE7B6C" w:rsidRPr="002D3374" w:rsidRDefault="00FE7B6C" w:rsidP="00FE7B6C">
      <w:pPr>
        <w:spacing w:after="120" w:line="240" w:lineRule="auto"/>
        <w:ind w:left="709" w:right="709"/>
        <w:jc w:val="both"/>
        <w:rPr>
          <w:rFonts w:ascii="Verdana" w:hAnsi="Verdana" w:cs="Arial"/>
          <w:sz w:val="21"/>
          <w:szCs w:val="21"/>
        </w:rPr>
      </w:pPr>
      <w:r w:rsidRPr="002D3374">
        <w:rPr>
          <w:rFonts w:ascii="Verdana" w:hAnsi="Verdana" w:cs="Arial"/>
          <w:sz w:val="21"/>
          <w:szCs w:val="21"/>
        </w:rPr>
        <w:t>La copia de estas actas, autorizada por el secretario o por algún representante de la sociedad, será prueba suficiente de los hechos que consten en ellas, mientras no se demuestre la falsedad de la copia o de las actas. A su vez, a los administradores no les será admisible prueba de ninguna clase para establecer hechos que no consten en las actas”.</w:t>
      </w:r>
    </w:p>
    <w:p w14:paraId="61720F88" w14:textId="77777777" w:rsidR="00FE7B6C" w:rsidRPr="00CB68C5" w:rsidRDefault="00FE7B6C" w:rsidP="00FE7B6C">
      <w:pPr>
        <w:spacing w:after="0" w:line="240" w:lineRule="auto"/>
        <w:ind w:right="709"/>
        <w:jc w:val="both"/>
        <w:rPr>
          <w:rFonts w:ascii="Verdana" w:hAnsi="Verdana" w:cs="Arial"/>
          <w:sz w:val="12"/>
          <w:szCs w:val="12"/>
        </w:rPr>
      </w:pPr>
      <w:r>
        <w:rPr>
          <w:rFonts w:ascii="Verdana" w:hAnsi="Verdana" w:cs="Arial"/>
          <w:sz w:val="21"/>
          <w:szCs w:val="21"/>
        </w:rPr>
        <w:tab/>
      </w:r>
    </w:p>
    <w:p w14:paraId="6FCAABEB" w14:textId="77777777" w:rsidR="00FE7B6C" w:rsidRPr="00666B6A" w:rsidRDefault="00FE7B6C" w:rsidP="00FE7B6C">
      <w:pPr>
        <w:spacing w:after="120" w:line="276" w:lineRule="auto"/>
        <w:ind w:firstLine="709"/>
        <w:jc w:val="both"/>
        <w:rPr>
          <w:rFonts w:ascii="Verdana" w:hAnsi="Verdana" w:cs="Arial"/>
        </w:rPr>
      </w:pPr>
      <w:r w:rsidRPr="001D5207">
        <w:rPr>
          <w:rFonts w:ascii="Verdana" w:hAnsi="Verdana" w:cs="Arial"/>
        </w:rPr>
        <w:t>La Superintendencia de Sociedades ha explicado que esta norma consagra una presunción legal sobre la veracidad de los hechos consignados en las actas, la cual admite prueba en contrario de acuerdo con los postulados del segundo párrafo del artículo 166 del Código General del Proceso</w:t>
      </w:r>
      <w:r w:rsidRPr="001D5207">
        <w:rPr>
          <w:rStyle w:val="FootnoteReference"/>
          <w:rFonts w:ascii="Verdana" w:hAnsi="Verdana" w:cs="Arial"/>
        </w:rPr>
        <w:footnoteReference w:id="36"/>
      </w:r>
      <w:r w:rsidRPr="001D5207">
        <w:rPr>
          <w:rFonts w:ascii="Verdana" w:hAnsi="Verdana" w:cs="Arial"/>
        </w:rPr>
        <w:t>. Esta</w:t>
      </w:r>
      <w:r>
        <w:rPr>
          <w:rFonts w:ascii="Verdana" w:hAnsi="Verdana" w:cs="Arial"/>
        </w:rPr>
        <w:t xml:space="preserve"> regla, que expresa un criterio general sobre la prueba de las decisiones de los órganos colegiados de las personas jurídicas de derecho privado, resulta relevante también para las entidades sin ánimo de lucro, en lo no regulado por sus normas especiales y sus estatutos. A ello se suma que, conforme al artículo 244 del Código General del </w:t>
      </w:r>
      <w:r>
        <w:rPr>
          <w:rFonts w:ascii="Verdana" w:hAnsi="Verdana" w:cs="Arial"/>
        </w:rPr>
        <w:lastRenderedPageBreak/>
        <w:t>Proceso, los documentos privados emanados de las partes o de terceros se presumen auténticos mientras no hayan sido tachados de falsos o desconocidos, y que el artículo 83 de la Constitución Política ordena presumir la buena fe en las gestiones que los particulares adelanten ante las autoridades.</w:t>
      </w:r>
    </w:p>
    <w:p w14:paraId="4D325C91"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En consecuencia, cuando el acta está suscrita y en ella consta la verificación del quórum y la decisión adoptada, la Entidad Estatal debe tenerla como prueba suficiente de esos hechos, sin que le sea dado exigir soportes adicionales no previstos en el pliego de condiciones para comprobar su veracidad. La Entidad solo podría considerar insuficiente el contenido del acta con base en elementos objetivos que se desprendan de lo exigido en la ley y el pliego de condiciones, y que debe identificar y motivar expresamente; por ejemplo: a) que la autorización la otorgó un órgano distinto del competente según el certificado de existencia y representación o los estatutos; b) que la autorización no comprende el proceso de contratación, el objeto o la cuantía de que se trata; c) que la decisión fue adoptada con posterioridad al cierre del proceso; d) que el acta no está suscrita por quienes deben firmarla; o e) que el propio documento evidencia una contradicción</w:t>
      </w:r>
      <w:r>
        <w:t xml:space="preserve"> </w:t>
      </w:r>
      <w:r w:rsidRPr="003C119D">
        <w:rPr>
          <w:rFonts w:ascii="Verdana" w:hAnsi="Verdana" w:cs="Arial"/>
        </w:rPr>
        <w:t>interna o con la información inscrita en el registro, como cuando en el acta se deja constancia de que no se reunió el quórum requerido</w:t>
      </w:r>
      <w:r>
        <w:rPr>
          <w:rFonts w:ascii="Verdana" w:hAnsi="Verdana" w:cs="Arial"/>
        </w:rPr>
        <w:t>. Fuera de estos supuestos, las dudas o conjeturas de la Entidad o de otros oferentes no tienen la entidad de desvirtuar per se la presunción legal que recae sobre el acta. Si la Entidad advierte indicios de falsedad, debe ponerlos en conocimiento de las autoridades competentes, sin perjuicio de las consecuencias que el pliego de condiciones prevea frente a la información inexacta.</w:t>
      </w:r>
    </w:p>
    <w:p w14:paraId="20160CCE"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Finalmente, en lo relativo a la competencia de las Entidades Estatales para cuestionar la validez, eficacia o regularidad de las decisiones de los órganos de dirección de las personas jurídicas privadas, debe recordarse que, conforme a los artículos 6 y 121 de la Constitución Política, los servidores públicos solo pueden ejercer las funciones que les atribuyen la Constitución y la ley. Por su parte, el artículo 20 del Código General del Proceso señala que l</w:t>
      </w:r>
      <w:r w:rsidRPr="00682932">
        <w:rPr>
          <w:rFonts w:ascii="Verdana" w:hAnsi="Verdana" w:cs="Arial"/>
        </w:rPr>
        <w:t>os jueces civiles del circuito conocen en primera instancia de la impugnación de actos de asambleas, juntas directivas y otros órganos de personas jurídicas de derecho privado. Esto es sin perjuicio de la competencia de las autoridades administrativas con funciones jurisdiccionales.</w:t>
      </w:r>
      <w:r>
        <w:rPr>
          <w:rFonts w:ascii="Verdana" w:hAnsi="Verdana" w:cs="Arial"/>
        </w:rPr>
        <w:t xml:space="preserve"> A su vez, el artículo 24 atribuye a la Superintendencia de Sociedades facultades jurisdiccionales para conocer de </w:t>
      </w:r>
      <w:r>
        <w:rPr>
          <w:rFonts w:ascii="Verdana" w:hAnsi="Verdana" w:cs="Arial"/>
        </w:rPr>
        <w:lastRenderedPageBreak/>
        <w:t>l</w:t>
      </w:r>
      <w:r w:rsidRPr="00682932">
        <w:rPr>
          <w:rFonts w:ascii="Verdana" w:hAnsi="Verdana" w:cs="Arial"/>
        </w:rPr>
        <w:t>a impugnación de actos de asambleas, juntas directivas, juntas de socios o de cualquier otro órgano directivo de personas sometidas a su supervisión</w:t>
      </w:r>
      <w:r>
        <w:rPr>
          <w:rFonts w:ascii="Verdana" w:hAnsi="Verdana" w:cs="Arial"/>
        </w:rPr>
        <w:t xml:space="preserve">. </w:t>
      </w:r>
    </w:p>
    <w:p w14:paraId="0879C078" w14:textId="77777777" w:rsidR="004E5456" w:rsidRPr="004E5456" w:rsidRDefault="004E5456" w:rsidP="00E374A0">
      <w:pPr>
        <w:spacing w:after="120" w:line="276" w:lineRule="auto"/>
        <w:ind w:firstLine="709"/>
        <w:jc w:val="both"/>
        <w:rPr>
          <w:rFonts w:ascii="Verdana" w:hAnsi="Verdana" w:cs="Arial"/>
        </w:rPr>
      </w:pPr>
      <w:r w:rsidRPr="00E374A0">
        <w:rPr>
          <w:rFonts w:ascii="Verdana" w:hAnsi="Verdana" w:cs="Arial"/>
        </w:rPr>
        <w:t>Ahora bien, el régimen societario distingue entre decisiones ineficaces, nulas e inoponibles. Conforme al artículo 190 del Código de Comercio, las decisiones adoptadas en contravención del artículo 186, entre otras las tomadas sin el quórum exigido, son ineficaces; las que se adopten sin el número de votos previsto en los estatutos o en las leyes, o excediendo los límites del contrato social, son absolutamente nulas; y las que no tengan carácter general son inoponibles. La ineficacia opera de pleno derecho, sin necesidad de declaración judicial, de modo que la Superintendencia de Sociedades la reconoce y no la constituye. En cambio, la nulidad y la inoponibilidad requieren el pronunciamiento de la autoridad competente</w:t>
      </w:r>
      <w:r w:rsidRPr="004E5456">
        <w:rPr>
          <w:rStyle w:val="FootnoteReference"/>
          <w:rFonts w:ascii="Verdana" w:hAnsi="Verdana" w:cs="Arial"/>
        </w:rPr>
        <w:footnoteReference w:id="37"/>
      </w:r>
      <w:r w:rsidRPr="00E374A0">
        <w:rPr>
          <w:rFonts w:ascii="Verdana" w:hAnsi="Verdana" w:cs="Arial"/>
        </w:rPr>
        <w:t>. Esta distinción tiene una consecuencia para la verificación del requisito: cuando la ineficacia es patente en el propio texto del acta, por ejemplo porque en ella se deja constancia de que la reunión se celebró sin el quórum requerido, la Entidad puede tener por no acreditada la autorización, sin que ello suponga declarar sanción alguna, pues se limita a constatar que la decisión no se adoptó válidamente conforme al documento aportado. Fuera de ese supuesto, la Entidad debe estarse a la presunción del artículo 189 del Código de Comercio y abstenerse de calificar la validez de la decisión.</w:t>
      </w:r>
    </w:p>
    <w:p w14:paraId="08F6046B" w14:textId="4046C631" w:rsidR="00FE7B6C" w:rsidRDefault="004E5456" w:rsidP="00FE7B6C">
      <w:pPr>
        <w:spacing w:after="0" w:line="276" w:lineRule="auto"/>
        <w:ind w:firstLine="709"/>
        <w:jc w:val="both"/>
        <w:rPr>
          <w:rFonts w:ascii="Verdana" w:hAnsi="Verdana" w:cs="Arial"/>
        </w:rPr>
      </w:pPr>
      <w:r w:rsidRPr="004E5456">
        <w:rPr>
          <w:rFonts w:ascii="Verdana" w:hAnsi="Verdana" w:cs="Arial"/>
        </w:rPr>
        <w:t xml:space="preserve">Por tanto, </w:t>
      </w:r>
      <w:r w:rsidRPr="00E374A0">
        <w:rPr>
          <w:rFonts w:ascii="Verdana" w:hAnsi="Verdana" w:cs="Arial"/>
        </w:rPr>
        <w:t>salvo el supuesto de ineficacia patente a que se refiere el párrafo anterior</w:t>
      </w:r>
      <w:r w:rsidR="00FE7B6C" w:rsidRPr="00061603">
        <w:rPr>
          <w:rFonts w:ascii="Verdana" w:hAnsi="Verdana" w:cs="Arial"/>
        </w:rPr>
        <w:t xml:space="preserve">, </w:t>
      </w:r>
      <w:r w:rsidR="00FE7B6C">
        <w:rPr>
          <w:rFonts w:ascii="Verdana" w:hAnsi="Verdana" w:cs="Arial"/>
        </w:rPr>
        <w:t>en el marco de un proceso de selección la Entidad Estatal no tiene competencia para declarar la nulidad, la ineficacia o la inexistencia de las decisiones de los órganos sociales de los proponentes, ni para desconocer sus efectos con fundamento en defectos que no han sido declarados por la autoridad competente. Su función se limita a verificar, conforme a las reglas del pliego de condiciones y con base en los documentos aportados, si el requisito habilitante se encuentra acreditado, en los términos expuestos en los párrafos anteriores.</w:t>
      </w:r>
    </w:p>
    <w:p w14:paraId="61143E95" w14:textId="77777777" w:rsidR="00FE7B6C" w:rsidRPr="003A27BB" w:rsidRDefault="00FE7B6C" w:rsidP="00FE7B6C">
      <w:pPr>
        <w:spacing w:after="0" w:line="276" w:lineRule="auto"/>
        <w:ind w:firstLine="709"/>
        <w:jc w:val="both"/>
        <w:rPr>
          <w:rFonts w:ascii="Verdana" w:hAnsi="Verdana" w:cs="Arial"/>
        </w:rPr>
      </w:pPr>
    </w:p>
    <w:p w14:paraId="60B1BF6E" w14:textId="77777777" w:rsidR="00FE7B6C" w:rsidRPr="00666B6A" w:rsidRDefault="00FE7B6C" w:rsidP="00FE7B6C">
      <w:pPr>
        <w:spacing w:after="120" w:line="276" w:lineRule="auto"/>
        <w:jc w:val="both"/>
        <w:rPr>
          <w:rFonts w:ascii="Verdana" w:hAnsi="Verdana" w:cs="Arial"/>
        </w:rPr>
      </w:pPr>
      <w:r>
        <w:rPr>
          <w:rFonts w:ascii="Verdana" w:hAnsi="Verdana" w:cs="Arial"/>
        </w:rPr>
        <w:t xml:space="preserve">v. En cuanto al último problema jurídico, </w:t>
      </w:r>
      <w:r>
        <w:rPr>
          <w:rFonts w:ascii="Verdana" w:eastAsia="Calibri" w:hAnsi="Verdana" w:cs="Arial"/>
          <w:color w:val="000000" w:themeColor="text1"/>
          <w:lang w:val="es-ES_tradnl"/>
        </w:rPr>
        <w:t>l</w:t>
      </w:r>
      <w:r w:rsidRPr="004A25CF">
        <w:rPr>
          <w:rFonts w:ascii="Verdana" w:eastAsia="Calibri" w:hAnsi="Verdana" w:cs="Arial"/>
          <w:color w:val="000000" w:themeColor="text1"/>
          <w:lang w:val="es-ES_tradnl"/>
        </w:rPr>
        <w:t xml:space="preserve">a declaratoria de desierta de un procedimiento de selección consiste en la decisión de la entidad contratante de no adjudicar el contrato, esto es, de no seleccionar al futuro contratista originado en un procedimiento de selección, por presentarse los supuestos establecidos </w:t>
      </w:r>
      <w:r w:rsidRPr="004A25CF">
        <w:rPr>
          <w:rFonts w:ascii="Verdana" w:eastAsia="Calibri" w:hAnsi="Verdana" w:cs="Arial"/>
          <w:color w:val="000000" w:themeColor="text1"/>
          <w:lang w:val="es-ES_tradnl"/>
        </w:rPr>
        <w:lastRenderedPageBreak/>
        <w:t xml:space="preserve">por el legislador para dicha declaratoria. </w:t>
      </w:r>
      <w:r>
        <w:rPr>
          <w:rFonts w:ascii="Verdana" w:hAnsi="Verdana" w:cs="Arial"/>
        </w:rPr>
        <w:t>El numeral 18 del artículo 25 de la Ley 80 de 1993 dispone que “La declaratoria de desierta de la licitación únicamente procederá por motivos o causas que impidan la escogencia objetiva y se declarará en acto administrativo en el que se señalarán en forma expresa y detallada las razones que han conducido a esa decisión”. Esta Agencia ha señalado que esta norma</w:t>
      </w:r>
      <w:r w:rsidRPr="00A15AE3">
        <w:rPr>
          <w:rFonts w:ascii="Verdana" w:hAnsi="Verdana" w:cs="Arial"/>
        </w:rPr>
        <w:t xml:space="preserve">, a falta de regulación especial, también se aplica a procesos distintos de la licitación, como la mínima cuantía, </w:t>
      </w:r>
      <w:r>
        <w:rPr>
          <w:rFonts w:ascii="Verdana" w:hAnsi="Verdana" w:cs="Arial"/>
        </w:rPr>
        <w:t>y que el acto que declara desierto el proceso debe señalar los hechos que dan lugar a la decisión y mostrar de qué modo esos hechos impiden la selección objetiva del contratista, como ocurre cuando no se presentan ofertas o ninguna cumple los requisitos del pliego de condiciones</w:t>
      </w:r>
      <w:r>
        <w:rPr>
          <w:rStyle w:val="FootnoteReference"/>
          <w:rFonts w:ascii="Verdana" w:hAnsi="Verdana" w:cs="Arial"/>
        </w:rPr>
        <w:footnoteReference w:id="38"/>
      </w:r>
      <w:r>
        <w:rPr>
          <w:rFonts w:ascii="Verdana" w:hAnsi="Verdana" w:cs="Arial"/>
        </w:rPr>
        <w:t>.</w:t>
      </w:r>
    </w:p>
    <w:p w14:paraId="1E09CEFB" w14:textId="77777777" w:rsidR="00FE7B6C" w:rsidRPr="00666B6A" w:rsidRDefault="00FE7B6C" w:rsidP="00FE7B6C">
      <w:pPr>
        <w:spacing w:after="120" w:line="276" w:lineRule="auto"/>
        <w:ind w:firstLine="709"/>
        <w:jc w:val="both"/>
        <w:rPr>
          <w:rFonts w:ascii="Verdana" w:hAnsi="Verdana" w:cs="Arial"/>
        </w:rPr>
      </w:pPr>
      <w:r>
        <w:rPr>
          <w:rFonts w:ascii="Verdana" w:hAnsi="Verdana" w:cs="Arial"/>
        </w:rPr>
        <w:t xml:space="preserve">La jurisprudencia del Consejo de Estado ha precisado que la facultad de adjudicar o no un contrato estatal es reglada, por lo que “no cualquier hecho puede conducir a la declaratoria de desierta de un proceso de selección”, </w:t>
      </w:r>
      <w:r w:rsidRPr="000676A3">
        <w:rPr>
          <w:rFonts w:ascii="Verdana" w:hAnsi="Verdana" w:cs="Arial"/>
        </w:rPr>
        <w:t xml:space="preserve">sino que es </w:t>
      </w:r>
      <w:r>
        <w:rPr>
          <w:rFonts w:ascii="Verdana" w:hAnsi="Verdana" w:cs="Arial"/>
        </w:rPr>
        <w:t xml:space="preserve">necesario </w:t>
      </w:r>
      <w:r w:rsidRPr="000676A3">
        <w:rPr>
          <w:rFonts w:ascii="Verdana" w:hAnsi="Verdana" w:cs="Arial"/>
        </w:rPr>
        <w:t>que impida la selección objetiva de la propuesta dentro del marco dispuesto por el ordenamiento jurídico</w:t>
      </w:r>
      <w:r>
        <w:rPr>
          <w:rStyle w:val="FootnoteReference"/>
          <w:rFonts w:ascii="Verdana" w:hAnsi="Verdana" w:cs="Arial"/>
        </w:rPr>
        <w:footnoteReference w:id="39"/>
      </w:r>
      <w:r>
        <w:rPr>
          <w:rFonts w:ascii="Verdana" w:hAnsi="Verdana" w:cs="Arial"/>
        </w:rPr>
        <w:t>. Asimismo, ha indicado que la declaratoria debe estar suficientemente motivada, fundarse únicamente en motivos o causas que impidan la escogencia objetiva, y que la Entidad no está facultada para declarar desierta una selección contractual con el objeto de salvar o enmendar un error cometido por ella</w:t>
      </w:r>
      <w:r w:rsidRPr="007B26AF">
        <w:t xml:space="preserve"> </w:t>
      </w:r>
      <w:r w:rsidRPr="007B26AF">
        <w:rPr>
          <w:rFonts w:ascii="Verdana" w:hAnsi="Verdana" w:cs="Arial"/>
        </w:rPr>
        <w:t>en la planeación del procedimiento de selección del contratista</w:t>
      </w:r>
      <w:r>
        <w:rPr>
          <w:rStyle w:val="FootnoteReference"/>
          <w:rFonts w:ascii="Verdana" w:hAnsi="Verdana" w:cs="Arial"/>
        </w:rPr>
        <w:footnoteReference w:id="40"/>
      </w:r>
      <w:r>
        <w:rPr>
          <w:rFonts w:ascii="Verdana" w:hAnsi="Verdana" w:cs="Arial"/>
        </w:rPr>
        <w:t>. Más recientemente, reiteró que “no se podrá declarar frustrado el proceso de selección por errores propios de la Administración”, de manera que la declaratoria solo procede cuando motivos o causas externos, y no imputables a la Administración, impiden la selección objetiva</w:t>
      </w:r>
      <w:r>
        <w:rPr>
          <w:rStyle w:val="FootnoteReference"/>
          <w:rFonts w:ascii="Verdana" w:hAnsi="Verdana" w:cs="Arial"/>
        </w:rPr>
        <w:footnoteReference w:id="41"/>
      </w:r>
      <w:r>
        <w:rPr>
          <w:rFonts w:ascii="Verdana" w:hAnsi="Verdana" w:cs="Arial"/>
        </w:rPr>
        <w:t>.</w:t>
      </w:r>
    </w:p>
    <w:p w14:paraId="79563BDC" w14:textId="77777777" w:rsidR="00FE7B6C" w:rsidRPr="00484874" w:rsidRDefault="00FE7B6C" w:rsidP="00FE7B6C">
      <w:pPr>
        <w:spacing w:after="120" w:line="276" w:lineRule="auto"/>
        <w:ind w:firstLine="709"/>
        <w:jc w:val="both"/>
        <w:rPr>
          <w:rFonts w:ascii="Verdana" w:hAnsi="Verdana" w:cs="Arial"/>
        </w:rPr>
      </w:pPr>
      <w:r>
        <w:rPr>
          <w:rFonts w:ascii="Verdana" w:hAnsi="Verdana" w:cs="Arial"/>
        </w:rPr>
        <w:t xml:space="preserve">En armonía con lo anterior, el artículo 2.2.1.1.2.2.6 del Decreto 1082 de 2015 permite a la Entidad Estatal adjudicar el contrato cuando solo se haya </w:t>
      </w:r>
      <w:r>
        <w:rPr>
          <w:rFonts w:ascii="Verdana" w:hAnsi="Verdana" w:cs="Arial"/>
        </w:rPr>
        <w:lastRenderedPageBreak/>
        <w:t>presentado una oferta, siempre que esta cumpla con los requisitos habilitantes exigidos y satisfaga los requisitos del pliego de condiciones. Por tanto, la existencia de una única oferta no es, por sí misma, una causa para declarar desierto el proceso. Cuando existe al menos una oferta que cumple los requisitos del pliego o que podría cumplirlos mediante la subsanación, la Entidad debe agotar previamente el requerimiento de subsanación y proceder con la adjudicación cuando el proponente resulte habilitado y cumpla con los requisitos estipulados en los documentos del proceso. Una causa de naturaleza formal o documental subsanable —y con mayor razón, una que no fue requerida al proponente— no constituye un motivo que impida la escogencia objetiva, pues el ordenamiento prevé un mecanismo específico para superarla. Tampoco lo es un error de la propia Entidad en la evaluación o en la estructuración del proceso.</w:t>
      </w:r>
    </w:p>
    <w:p w14:paraId="7C436E77" w14:textId="77777777" w:rsidR="00FE7B6C" w:rsidRPr="00EC35A0" w:rsidRDefault="00FE7B6C" w:rsidP="00FE7B6C">
      <w:pPr>
        <w:spacing w:before="120" w:after="0" w:line="276" w:lineRule="auto"/>
        <w:ind w:firstLine="708"/>
        <w:jc w:val="both"/>
        <w:rPr>
          <w:rFonts w:ascii="Verdana" w:eastAsia="Calibri" w:hAnsi="Verdana" w:cs="Arial"/>
          <w:lang w:val="es-ES_tradnl"/>
        </w:rPr>
      </w:pPr>
      <w:r w:rsidRPr="00462654">
        <w:rPr>
          <w:rFonts w:ascii="Verdana" w:hAnsi="Verdana" w:cs="Arial"/>
          <w:lang w:val="es-ES_tradnl" w:eastAsia="es-ES"/>
        </w:rPr>
        <w:t xml:space="preserve">Al margen de la explicación precedente debe advertirse que el análisis requerido para resolver problemas específicos debe ser realizado por quienes tengan interés en ello, de acuerdo con lo explicado </w:t>
      </w:r>
      <w:r>
        <w:rPr>
          <w:rFonts w:ascii="Verdana" w:hAnsi="Verdana" w:cs="Arial"/>
          <w:lang w:val="es-ES_tradnl" w:eastAsia="es-ES"/>
        </w:rPr>
        <w:t xml:space="preserve">en </w:t>
      </w:r>
      <w:r w:rsidRPr="00462654">
        <w:rPr>
          <w:rFonts w:ascii="Verdana" w:hAnsi="Verdana" w:cs="Arial"/>
          <w:lang w:val="es-ES_tradnl" w:eastAsia="es-ES"/>
        </w:rPr>
        <w:t>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 xml:space="preserve">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hAnsi="Verdana" w:cs="Arial"/>
          <w:lang w:val="es-ES_tradnl" w:eastAsia="es-ES"/>
        </w:rPr>
        <w:t xml:space="preserve">en </w:t>
      </w:r>
      <w:r w:rsidRPr="00462654">
        <w:rPr>
          <w:rFonts w:ascii="Verdana" w:hAnsi="Verdana" w:cs="Arial"/>
          <w:lang w:val="es-ES_tradnl" w:eastAsia="es-ES"/>
        </w:rPr>
        <w:t>adoptar la decisión y, en caso de conflicto, a las autoridades judiciales, fiscales y disciplinarias.</w:t>
      </w:r>
    </w:p>
    <w:p w14:paraId="41F1BBB3" w14:textId="77777777" w:rsidR="00FE7B6C" w:rsidRPr="00462654" w:rsidRDefault="00FE7B6C" w:rsidP="00FE7B6C">
      <w:pPr>
        <w:spacing w:before="120" w:after="0" w:line="276" w:lineRule="auto"/>
        <w:ind w:firstLine="709"/>
        <w:jc w:val="both"/>
        <w:rPr>
          <w:rFonts w:ascii="Verdana" w:hAnsi="Verdana" w:cs="Arial"/>
          <w:lang w:val="es-ES" w:eastAsia="es-ES"/>
        </w:rPr>
      </w:pP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1BA8E3A" w14:textId="77777777" w:rsidR="00FE7B6C" w:rsidRPr="00270E87" w:rsidRDefault="00FE7B6C" w:rsidP="00FE7B6C">
      <w:pPr>
        <w:spacing w:after="0" w:line="276" w:lineRule="auto"/>
        <w:jc w:val="both"/>
        <w:rPr>
          <w:rFonts w:ascii="Verdana" w:eastAsia="Times New Roman" w:hAnsi="Verdana" w:cs="Arial"/>
          <w:color w:val="000000" w:themeColor="text1"/>
          <w:lang w:val="es-ES"/>
        </w:rPr>
      </w:pPr>
    </w:p>
    <w:p w14:paraId="1CEF3CDC" w14:textId="77777777" w:rsidR="00FE7B6C" w:rsidRPr="00270E87" w:rsidRDefault="00FE7B6C" w:rsidP="00FE7B6C">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F404BC">
        <w:rPr>
          <w:rFonts w:ascii="Verdana" w:eastAsia="Century Gothic" w:hAnsi="Verdana" w:cs="Century Gothic"/>
          <w:b/>
          <w:color w:val="000000" w:themeColor="text1"/>
        </w:rPr>
        <w:t>Referencias normativas, jurisprudenciales y otras fuentes:</w:t>
      </w:r>
    </w:p>
    <w:p w14:paraId="20FE8C14" w14:textId="77777777" w:rsidR="00FE7B6C" w:rsidRPr="00270E87" w:rsidRDefault="00FE7B6C" w:rsidP="00FE7B6C">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5456" w:rsidRPr="00270E87" w14:paraId="7DD2CF60" w14:textId="77777777">
        <w:trPr>
          <w:trHeight w:val="297"/>
        </w:trPr>
        <w:tc>
          <w:tcPr>
            <w:tcW w:w="8647" w:type="dxa"/>
          </w:tcPr>
          <w:p w14:paraId="78DE69C6"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Constitución Política de Colombia, artículos 6, 14, 29, 83, 121 y 228.</w:t>
            </w:r>
          </w:p>
          <w:p w14:paraId="078CDABA" w14:textId="77777777" w:rsidR="004E5456" w:rsidRPr="004E5456" w:rsidRDefault="004E5456">
            <w:pPr>
              <w:numPr>
                <w:ilvl w:val="0"/>
                <w:numId w:val="17"/>
              </w:numPr>
              <w:spacing w:before="100" w:beforeAutospacing="1" w:after="100" w:afterAutospacing="1" w:line="276" w:lineRule="auto"/>
              <w:rPr>
                <w:rFonts w:ascii="Verdana" w:hAnsi="Verdana"/>
              </w:rPr>
            </w:pPr>
            <w:r>
              <w:rPr>
                <w:rFonts w:ascii="Verdana" w:hAnsi="Verdana"/>
              </w:rPr>
              <w:t>Código Civil, artículos 34</w:t>
            </w:r>
            <w:r w:rsidRPr="004E5456">
              <w:rPr>
                <w:rFonts w:ascii="Verdana" w:hAnsi="Verdana"/>
              </w:rPr>
              <w:t>, 74, 633, 1502, 1503 y 1504.</w:t>
            </w:r>
          </w:p>
          <w:p w14:paraId="41AFC68B" w14:textId="2CB3CAD0" w:rsidR="004E5456" w:rsidRPr="004E5456" w:rsidRDefault="004E5456">
            <w:pPr>
              <w:numPr>
                <w:ilvl w:val="0"/>
                <w:numId w:val="17"/>
              </w:numPr>
              <w:spacing w:before="100" w:beforeAutospacing="1" w:after="100" w:afterAutospacing="1" w:line="276" w:lineRule="auto"/>
              <w:rPr>
                <w:rFonts w:ascii="Verdana" w:hAnsi="Verdana"/>
              </w:rPr>
            </w:pPr>
            <w:r w:rsidRPr="004E5456">
              <w:rPr>
                <w:rFonts w:ascii="Verdana" w:hAnsi="Verdana"/>
              </w:rPr>
              <w:lastRenderedPageBreak/>
              <w:t>Código de Comercio, artículos 98, 99, 110, numeral 4, 189</w:t>
            </w:r>
            <w:r w:rsidRPr="00E374A0">
              <w:rPr>
                <w:rFonts w:ascii="Verdana" w:hAnsi="Verdana"/>
              </w:rPr>
              <w:t>, 190, 196 y 897</w:t>
            </w:r>
            <w:r w:rsidRPr="004E5456">
              <w:rPr>
                <w:rFonts w:ascii="Verdana" w:hAnsi="Verdana"/>
              </w:rPr>
              <w:t>.</w:t>
            </w:r>
          </w:p>
          <w:p w14:paraId="0F60AC73" w14:textId="77777777" w:rsidR="004E5456" w:rsidRPr="004E5456" w:rsidRDefault="004E5456">
            <w:pPr>
              <w:numPr>
                <w:ilvl w:val="0"/>
                <w:numId w:val="17"/>
              </w:numPr>
              <w:spacing w:before="100" w:beforeAutospacing="1" w:after="100" w:afterAutospacing="1" w:line="276" w:lineRule="auto"/>
              <w:rPr>
                <w:rFonts w:ascii="Verdana" w:hAnsi="Verdana"/>
              </w:rPr>
            </w:pPr>
            <w:r w:rsidRPr="004E5456">
              <w:rPr>
                <w:rFonts w:ascii="Verdana" w:hAnsi="Verdana"/>
              </w:rPr>
              <w:t>Decreto Ley 150 de 1976.</w:t>
            </w:r>
          </w:p>
          <w:p w14:paraId="0AC4651D" w14:textId="77777777" w:rsidR="004E5456" w:rsidRPr="004E5456" w:rsidRDefault="004E5456">
            <w:pPr>
              <w:numPr>
                <w:ilvl w:val="0"/>
                <w:numId w:val="17"/>
              </w:numPr>
              <w:spacing w:before="100" w:beforeAutospacing="1" w:after="100" w:afterAutospacing="1" w:line="276" w:lineRule="auto"/>
              <w:rPr>
                <w:rFonts w:ascii="Verdana" w:hAnsi="Verdana"/>
              </w:rPr>
            </w:pPr>
            <w:r w:rsidRPr="004E5456">
              <w:rPr>
                <w:rFonts w:ascii="Verdana" w:hAnsi="Verdana"/>
              </w:rPr>
              <w:t>Decreto Ley 222 de 1983.</w:t>
            </w:r>
          </w:p>
          <w:p w14:paraId="2B67B8E4" w14:textId="77777777" w:rsidR="004E5456" w:rsidRPr="004E5456" w:rsidRDefault="004E5456">
            <w:pPr>
              <w:numPr>
                <w:ilvl w:val="0"/>
                <w:numId w:val="17"/>
              </w:numPr>
              <w:spacing w:before="100" w:beforeAutospacing="1" w:after="100" w:afterAutospacing="1" w:line="276" w:lineRule="auto"/>
              <w:rPr>
                <w:rFonts w:ascii="Verdana" w:hAnsi="Verdana"/>
              </w:rPr>
            </w:pPr>
            <w:r w:rsidRPr="004E5456">
              <w:rPr>
                <w:rFonts w:ascii="Verdana" w:hAnsi="Verdana"/>
              </w:rPr>
              <w:t>Ley 80 de 1993, artículos 6, 24, 25 y 30, numerales 7 y 8.</w:t>
            </w:r>
          </w:p>
          <w:p w14:paraId="452CD4E0" w14:textId="77777777" w:rsidR="004E5456" w:rsidRPr="004E5456" w:rsidRDefault="004E5456">
            <w:pPr>
              <w:numPr>
                <w:ilvl w:val="0"/>
                <w:numId w:val="17"/>
              </w:numPr>
              <w:spacing w:before="100" w:beforeAutospacing="1" w:after="100" w:afterAutospacing="1" w:line="276" w:lineRule="auto"/>
              <w:rPr>
                <w:rFonts w:ascii="Verdana" w:hAnsi="Verdana"/>
              </w:rPr>
            </w:pPr>
            <w:r w:rsidRPr="004E5456">
              <w:rPr>
                <w:rFonts w:ascii="Verdana" w:hAnsi="Verdana"/>
              </w:rPr>
              <w:t>Decreto 2150 de 1995, artículo 42.</w:t>
            </w:r>
          </w:p>
          <w:p w14:paraId="63EF6B3E"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Ley 1150 de 2007, artículo 5, modificado por el artículo 5 de la Ley 1882 de 2018.</w:t>
            </w:r>
          </w:p>
          <w:p w14:paraId="72F20981"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Ley 1564 de 2012 (Código General del Proceso), artículos 20, 24, 166 y 244.</w:t>
            </w:r>
          </w:p>
          <w:p w14:paraId="4A638DDA"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Decreto 1082 de 2015, artículos 2.2.1.1.2.2.6, 2.2.1.2.1.1.2 y 2.2.1.2.1.5.2, este último modificado por el Decreto 1860 de 2021.</w:t>
            </w:r>
          </w:p>
          <w:p w14:paraId="6845C4ED"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Ley 1996 de 2019, artículo 57.</w:t>
            </w:r>
          </w:p>
          <w:p w14:paraId="57A0A50B"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Corte Constitucional. Sentencia C-178 del 29 de abril de 1996. M.P. Antonio Barrera Carbonell.</w:t>
            </w:r>
          </w:p>
          <w:p w14:paraId="48E874E2"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Sala de Consulta y Servicio Civil. Concepto del 6 de diciembre de 2007. Rad. 11001-03-06-000-2007-00101-00 (1871). C.P. Luis Fernando Álvarez Jaramillo.</w:t>
            </w:r>
          </w:p>
          <w:p w14:paraId="18D8CC6F"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Sala de Consulta y Servicio Civil. Concepto del 6 de noviembre de 2008. Exp. 1927. C.P. William Zambrano Cetina.</w:t>
            </w:r>
          </w:p>
          <w:p w14:paraId="502778FE"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Sala de Consulta y Servicio Civil. Concepto del 20 de mayo de 2010. Exp. 1992. C.P. Enrique José Arboleda Perdomo.</w:t>
            </w:r>
          </w:p>
          <w:p w14:paraId="15598ABB"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Sentencia del 26 de enero de 2011. Rad. 36.408. C.P. Jaime Orlando Santofimio Gamboa.</w:t>
            </w:r>
          </w:p>
          <w:p w14:paraId="272BF556"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 xml:space="preserve">Consejo de Estado. Sección Tercera. Subsección B. Sentencia del 3 de mayo de 2013. Rad. 25000-23-26-000-1998-01825-01 (23.734). C.P. (E) Danilo Rojas </w:t>
            </w:r>
            <w:proofErr w:type="spellStart"/>
            <w:r>
              <w:rPr>
                <w:rFonts w:ascii="Verdana" w:hAnsi="Verdana"/>
              </w:rPr>
              <w:t>Betancourth</w:t>
            </w:r>
            <w:proofErr w:type="spellEnd"/>
            <w:r>
              <w:rPr>
                <w:rFonts w:ascii="Verdana" w:hAnsi="Verdana"/>
              </w:rPr>
              <w:t>.</w:t>
            </w:r>
          </w:p>
          <w:p w14:paraId="5C6FB011"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Subsección C. Sentencia del 26 de febrero de 2014. Exp. 25.804. C.P. Enrique Gil Botero.</w:t>
            </w:r>
          </w:p>
          <w:p w14:paraId="43C2757C"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Subsección A. Sentencia del 1 de octubre de 2014. Rad. 25000-23-26-000-2005-00214-01 (34.778). C.P. (E) Hernán Andrade Rincón.</w:t>
            </w:r>
          </w:p>
          <w:p w14:paraId="1621F2D0"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Subsección C. Sentencia del 12 de noviembre de 2014. Rad. 25000-23-26-000-1996-12809-01 (27.986). C.P. Enrique Gil Botero.</w:t>
            </w:r>
          </w:p>
          <w:p w14:paraId="2F6CC418"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lastRenderedPageBreak/>
              <w:t>Consejo de Estado. Sección Tercera. Sentencia del 29 de julio de 2015. Exp. 40.660. C.P. Jaime Orlando Santofimio Gamboa.</w:t>
            </w:r>
          </w:p>
          <w:p w14:paraId="7AAB9ED6"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Subsección B. Sentencia del 31 de agosto de 2017. Rad. 25000-23-26-000-1999-00744-01 (25.740). C.P. Ramiro Pazos Guerrero.</w:t>
            </w:r>
          </w:p>
          <w:p w14:paraId="24F97AF2"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Consejo de Estado. Sección Tercera. Subsección A. Sentencia del 6 de diciembre de 2024. Rad. 25000-23-36-000-2014-00859-01 (60.644). C.P. María Adriana Marín.</w:t>
            </w:r>
          </w:p>
          <w:p w14:paraId="11EE4B7E" w14:textId="77777777" w:rsidR="004E5456" w:rsidRPr="0087464B" w:rsidRDefault="004E5456">
            <w:pPr>
              <w:numPr>
                <w:ilvl w:val="0"/>
                <w:numId w:val="17"/>
              </w:numPr>
              <w:spacing w:before="100" w:beforeAutospacing="1" w:after="100" w:afterAutospacing="1" w:line="276" w:lineRule="auto"/>
              <w:rPr>
                <w:rFonts w:ascii="Verdana" w:hAnsi="Verdana"/>
              </w:rPr>
            </w:pPr>
            <w:r>
              <w:rPr>
                <w:rFonts w:ascii="Verdana" w:hAnsi="Verdana"/>
              </w:rPr>
              <w:t>Superintendencia de Sociedades. Oficio 220-105455 del 3 de octubre de 2019.</w:t>
            </w:r>
          </w:p>
        </w:tc>
      </w:tr>
    </w:tbl>
    <w:p w14:paraId="2D4A1CC3" w14:textId="77777777" w:rsidR="00FE7B6C" w:rsidRPr="00270E87" w:rsidRDefault="00FE7B6C" w:rsidP="00FE7B6C">
      <w:pPr>
        <w:widowControl w:val="0"/>
        <w:autoSpaceDE w:val="0"/>
        <w:autoSpaceDN w:val="0"/>
        <w:spacing w:after="0" w:line="276" w:lineRule="auto"/>
        <w:jc w:val="both"/>
        <w:rPr>
          <w:rFonts w:ascii="Verdana" w:hAnsi="Verdana" w:cs="Arial"/>
          <w:color w:val="000000" w:themeColor="text1"/>
          <w:lang w:val="es-ES"/>
        </w:rPr>
      </w:pPr>
    </w:p>
    <w:p w14:paraId="0F3E1E77" w14:textId="77777777" w:rsidR="00FE7B6C" w:rsidRPr="00270E87" w:rsidRDefault="00FE7B6C" w:rsidP="00FE7B6C">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F404BC">
        <w:rPr>
          <w:rFonts w:ascii="Verdana" w:eastAsia="Century Gothic" w:hAnsi="Verdana" w:cs="Century Gothic"/>
          <w:b/>
          <w:color w:val="000000" w:themeColor="text1"/>
        </w:rPr>
        <w:t>Doctrina de la Agencia Nacional de Contratación Pública:</w:t>
      </w:r>
    </w:p>
    <w:p w14:paraId="5D23627E" w14:textId="77777777" w:rsidR="00FE7B6C" w:rsidRPr="00270E87" w:rsidRDefault="00FE7B6C" w:rsidP="00FE7B6C">
      <w:pPr>
        <w:widowControl w:val="0"/>
        <w:autoSpaceDE w:val="0"/>
        <w:autoSpaceDN w:val="0"/>
        <w:spacing w:after="0" w:line="276" w:lineRule="auto"/>
        <w:jc w:val="both"/>
        <w:rPr>
          <w:rFonts w:ascii="Verdana" w:hAnsi="Verdana" w:cs="Arial"/>
          <w:color w:val="000000" w:themeColor="text1"/>
          <w:lang w:val="es-ES"/>
        </w:rPr>
      </w:pPr>
    </w:p>
    <w:p w14:paraId="31865C82" w14:textId="77777777" w:rsidR="00FE7B6C" w:rsidRPr="00270E87" w:rsidRDefault="00FE7B6C" w:rsidP="00FE7B6C">
      <w:pPr>
        <w:spacing w:line="276" w:lineRule="auto"/>
        <w:jc w:val="both"/>
        <w:rPr>
          <w:rFonts w:ascii="Verdana" w:eastAsia="Calibri" w:hAnsi="Verdana" w:cs="Arial"/>
          <w:b/>
          <w:bCs/>
          <w:color w:val="000000" w:themeColor="text1"/>
          <w:lang w:val="es-ES"/>
        </w:rPr>
      </w:pPr>
      <w:r w:rsidRPr="00270E87">
        <w:rPr>
          <w:rFonts w:ascii="Verdana" w:eastAsia="Calibri" w:hAnsi="Verdana" w:cs="Arial"/>
          <w:lang w:val="es-ES"/>
        </w:rPr>
        <w:t>La Agencia Nacional de Contratación Pública – Colombia Compra Eficiente se ha pronunciado</w:t>
      </w:r>
      <w:r>
        <w:rPr>
          <w:rFonts w:ascii="Verdana" w:eastAsia="Calibri" w:hAnsi="Verdana" w:cs="Arial"/>
          <w:lang w:val="es-ES"/>
        </w:rPr>
        <w:t xml:space="preserve"> sobre la subsanabilidad de las ofertas en los conceptos con radicado No. 2201913000003917 del 7 de junio de 2019, C-812 del 16 de diciembre de 2024, C-397 del 7 de mayo de 2025, C-1376 del 31 de octubre de 2025, C-1609 del 3 de diciembre de 2025 y C-431 del 28 de abril de 2026. Sobre el traslado del informe de evaluación se refirió en el concepto C-873 del 12 de agosto de 2025. Finalmente, sobre la declaratoria de desierta se pronunció en los conceptos C-145 del 16 de julio de 2024, C-715 del 22 de noviembre de 2024, C-840 del 11 de diciembre de 2024 y C-1168 del 29 de septiembre de 2025. </w:t>
      </w:r>
      <w:r w:rsidRPr="00211B92">
        <w:rPr>
          <w:rFonts w:ascii="Verdana" w:eastAsia="Arial" w:hAnsi="Verdana" w:cs="Arial"/>
          <w:lang w:val="es-ES"/>
        </w:rPr>
        <w:t>Estos y</w:t>
      </w:r>
      <w:r w:rsidRPr="00211B92">
        <w:rPr>
          <w:rFonts w:ascii="Verdana" w:hAnsi="Verdana" w:cs="Arial"/>
          <w:shd w:val="clear" w:color="auto" w:fill="FFFFFF"/>
          <w:lang w:val="es-ES"/>
        </w:rPr>
        <w:t xml:space="preserve"> </w:t>
      </w:r>
      <w:r w:rsidRPr="00211B92">
        <w:rPr>
          <w:rFonts w:ascii="Verdana" w:hAnsi="Verdana"/>
          <w:lang w:val="es-ES"/>
        </w:rPr>
        <w:t>o</w:t>
      </w:r>
      <w:r w:rsidRPr="00270E87">
        <w:rPr>
          <w:rFonts w:ascii="Verdana" w:hAnsi="Verdana"/>
          <w:lang w:val="es-ES"/>
        </w:rPr>
        <w:t>tros conceptos se encuentran disponibles para consulta en el Sistema de relatoría de la Agencia, al cual se puede acceder a través del siguiente enlace:</w:t>
      </w:r>
      <w:r w:rsidRPr="00270E87">
        <w:rPr>
          <w:rFonts w:ascii="Verdana" w:hAnsi="Verdana" w:cs="Arial"/>
          <w:shd w:val="clear" w:color="auto" w:fill="FFFFFF"/>
          <w:lang w:val="es-ES"/>
        </w:rPr>
        <w:t xml:space="preserve"> </w:t>
      </w:r>
      <w:hyperlink r:id="rId13" w:history="1">
        <w:r w:rsidRPr="00270E87">
          <w:rPr>
            <w:rStyle w:val="Hyperlink"/>
            <w:rFonts w:ascii="Verdana" w:hAnsi="Verdana"/>
            <w:lang w:val="es-ES"/>
          </w:rPr>
          <w:t>https://relatoria.colombiacompra.gov.co/busqueda/conceptos</w:t>
        </w:r>
      </w:hyperlink>
      <w:r w:rsidRPr="00270E87">
        <w:rPr>
          <w:rFonts w:ascii="Verdana" w:hAnsi="Verdana" w:cs="Arial"/>
          <w:shd w:val="clear" w:color="auto" w:fill="FFFFFF"/>
          <w:lang w:val="es-ES"/>
        </w:rPr>
        <w:t>.</w:t>
      </w:r>
      <w:r w:rsidRPr="00270E87">
        <w:rPr>
          <w:rFonts w:ascii="Verdana" w:hAnsi="Verdana" w:cs="Arial"/>
          <w:color w:val="FF0000"/>
          <w:shd w:val="clear" w:color="auto" w:fill="FFFFFF"/>
          <w:lang w:val="es-ES"/>
        </w:rPr>
        <w:t xml:space="preserve"> </w:t>
      </w:r>
      <w:r w:rsidRPr="00270E87">
        <w:rPr>
          <w:rFonts w:ascii="Verdana" w:hAnsi="Verdana" w:cs="Arial"/>
          <w:color w:val="000000" w:themeColor="text1"/>
          <w:shd w:val="clear" w:color="auto" w:fill="FFFFFF"/>
          <w:lang w:val="es-ES"/>
        </w:rPr>
        <w:t>  </w:t>
      </w:r>
    </w:p>
    <w:p w14:paraId="0A97ADD0" w14:textId="77777777" w:rsidR="00FE7B6C" w:rsidRPr="00C044BD" w:rsidRDefault="00FE7B6C" w:rsidP="00FE7B6C">
      <w:pPr>
        <w:spacing w:after="0" w:line="276" w:lineRule="auto"/>
        <w:jc w:val="both"/>
        <w:rPr>
          <w:rFonts w:ascii="Verdana" w:hAnsi="Verdana"/>
          <w:lang w:val="it-CH"/>
        </w:rPr>
      </w:pPr>
      <w:r w:rsidRPr="00270E87">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  invita a consultar la nueva versión de la </w:t>
      </w:r>
      <w:r w:rsidRPr="00270E87">
        <w:rPr>
          <w:rFonts w:ascii="Verdana" w:hAnsi="Verdana"/>
          <w:b/>
          <w:bCs/>
          <w:lang w:val="es-ES"/>
        </w:rPr>
        <w:t>Guía para la Exigencia y Constitución de Garantías en los Procesos de Contratación</w:t>
      </w:r>
      <w:r w:rsidRPr="00270E87">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C044BD">
        <w:rPr>
          <w:rFonts w:ascii="Verdana" w:hAnsi="Verdana"/>
          <w:lang w:val="it-CH"/>
        </w:rPr>
        <w:t xml:space="preserve">Consúltela </w:t>
      </w:r>
      <w:r w:rsidRPr="00C044BD">
        <w:rPr>
          <w:rFonts w:ascii="Verdana" w:hAnsi="Verdana"/>
          <w:lang w:val="it-CH"/>
        </w:rPr>
        <w:lastRenderedPageBreak/>
        <w:t>aquí: </w:t>
      </w:r>
      <w:r>
        <w:fldChar w:fldCharType="begin"/>
      </w:r>
      <w:r>
        <w:instrText>HYPERLINK "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\h</w:instrText>
      </w:r>
      <w:r>
        <w:fldChar w:fldCharType="separate"/>
      </w:r>
      <w:r w:rsidRPr="00C044BD">
        <w:rPr>
          <w:rStyle w:val="Hyperlink"/>
          <w:rFonts w:ascii="Verdana" w:hAnsi="Verdana"/>
          <w:lang w:val="it-CH"/>
        </w:rPr>
        <w:t>https://www.colombiacompra.gov.co/archivos/manual/guia-de-garantias-en-procesos-de-contratacion</w:t>
      </w:r>
      <w:r>
        <w:fldChar w:fldCharType="end"/>
      </w:r>
    </w:p>
    <w:p w14:paraId="77F3BC15" w14:textId="77777777" w:rsidR="00FE7B6C" w:rsidRPr="00C044BD" w:rsidRDefault="00FE7B6C" w:rsidP="00FE7B6C">
      <w:pPr>
        <w:spacing w:after="0" w:line="276" w:lineRule="auto"/>
        <w:jc w:val="both"/>
        <w:rPr>
          <w:rFonts w:ascii="Verdana" w:hAnsi="Verdana"/>
          <w:lang w:val="it-CH"/>
        </w:rPr>
      </w:pPr>
    </w:p>
    <w:p w14:paraId="5C836252" w14:textId="77777777" w:rsidR="00FE7B6C" w:rsidRPr="00C044BD" w:rsidRDefault="00FE7B6C" w:rsidP="00FE7B6C">
      <w:pPr>
        <w:spacing w:after="0" w:line="276" w:lineRule="auto"/>
        <w:jc w:val="both"/>
        <w:rPr>
          <w:rFonts w:ascii="Verdana" w:hAnsi="Verdana"/>
          <w:lang w:val="it-CH"/>
        </w:rPr>
      </w:pPr>
      <w:r w:rsidRPr="00270E87">
        <w:rPr>
          <w:rFonts w:ascii="Verdana" w:hAnsi="Verdana"/>
          <w:lang w:val="es-ES"/>
        </w:rPr>
        <w:t xml:space="preserve">De otro lado, </w:t>
      </w:r>
      <w:r>
        <w:rPr>
          <w:rFonts w:ascii="Verdana" w:hAnsi="Verdana"/>
          <w:lang w:val="es-ES"/>
        </w:rPr>
        <w:t>l</w:t>
      </w:r>
      <w:r w:rsidRPr="00270E87">
        <w:rPr>
          <w:rFonts w:ascii="Verdana" w:hAnsi="Verdana"/>
          <w:lang w:val="es-ES"/>
        </w:rPr>
        <w:t>e contamos que el Decreto 287 del 19 de marzo de 2026 sustituyó los artículos 2.2.1.2.4.2.6., 2.2.1.2.4.2.7. y 2.2.1.2.4.2.8. del Decreto 1082 de 2015 y estructuró el </w:t>
      </w:r>
      <w:r w:rsidRPr="00270E87">
        <w:rPr>
          <w:rFonts w:ascii="Verdana" w:hAnsi="Verdana"/>
          <w:b/>
          <w:bCs/>
          <w:lang w:val="es-ES"/>
        </w:rPr>
        <w:t>Sistema Integral de Preferencias en favor de las personas con discapacidad</w:t>
      </w:r>
      <w:r w:rsidRPr="00270E87">
        <w:rPr>
          <w:rFonts w:ascii="Verdana" w:hAnsi="Verdana"/>
          <w:lang w:val="es-ES"/>
        </w:rPr>
        <w:t>, en cumplimiento del artículo 13 de la Ley Estatutaria 1618 de 2013. Para orientar su aplicación, esta Agencia expidió la </w:t>
      </w:r>
      <w:r w:rsidRPr="00270E87">
        <w:rPr>
          <w:rFonts w:ascii="Verdana" w:hAnsi="Verdana"/>
          <w:b/>
          <w:bCs/>
          <w:lang w:val="es-ES"/>
        </w:rPr>
        <w:t>Circular Externa 003 del 12 de mayo de 2026, </w:t>
      </w:r>
      <w:r w:rsidRPr="00270E87">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C044BD">
        <w:rPr>
          <w:rFonts w:ascii="Verdana" w:hAnsi="Verdana"/>
          <w:lang w:val="it-CH"/>
        </w:rPr>
        <w:t>Consúltela aquí: </w:t>
      </w:r>
      <w:r>
        <w:fldChar w:fldCharType="begin"/>
      </w:r>
      <w:r>
        <w:instrText>HYPERLINK "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\h</w:instrText>
      </w:r>
      <w:r>
        <w:fldChar w:fldCharType="separate"/>
      </w:r>
      <w:r w:rsidRPr="00C044BD">
        <w:rPr>
          <w:rStyle w:val="Hyperlink"/>
          <w:rFonts w:ascii="Verdana" w:hAnsi="Verdana"/>
          <w:lang w:val="it-CH"/>
        </w:rPr>
        <w:t>https://www.colombiacompra.gov.co/archivos/circular/circular-externa-003-de-2026</w:t>
      </w:r>
      <w:r>
        <w:fldChar w:fldCharType="end"/>
      </w:r>
    </w:p>
    <w:p w14:paraId="375FC4D2" w14:textId="77777777" w:rsidR="00FE7B6C" w:rsidRPr="00C044BD" w:rsidRDefault="00FE7B6C" w:rsidP="00FE7B6C">
      <w:pPr>
        <w:spacing w:after="0" w:line="276" w:lineRule="auto"/>
        <w:jc w:val="both"/>
        <w:rPr>
          <w:rFonts w:ascii="Verdana" w:hAnsi="Verdana"/>
          <w:lang w:val="it-CH"/>
        </w:rPr>
      </w:pPr>
    </w:p>
    <w:p w14:paraId="700E8EBE" w14:textId="77777777" w:rsidR="00FE7B6C" w:rsidRPr="00C044BD" w:rsidRDefault="00FE7B6C" w:rsidP="00FE7B6C">
      <w:pPr>
        <w:spacing w:after="0" w:line="276" w:lineRule="auto"/>
        <w:jc w:val="both"/>
        <w:rPr>
          <w:rFonts w:ascii="Verdana" w:hAnsi="Verdana"/>
          <w:lang w:val="it-CH"/>
        </w:rPr>
      </w:pPr>
      <w:r w:rsidRPr="00270E87">
        <w:rPr>
          <w:rFonts w:ascii="Verdana" w:hAnsi="Verdana"/>
          <w:lang w:val="es-ES"/>
        </w:rPr>
        <w:t>Recuerde también que la</w:t>
      </w:r>
      <w:r w:rsidRPr="00270E87">
        <w:rPr>
          <w:rFonts w:ascii="Verdana" w:hAnsi="Verdana"/>
          <w:b/>
          <w:bCs/>
          <w:lang w:val="es-ES"/>
        </w:rPr>
        <w:t> información sobre sanciones e inhabilidades </w:t>
      </w:r>
      <w:r w:rsidRPr="00270E87">
        <w:rPr>
          <w:rFonts w:ascii="Verdana" w:hAnsi="Verdana"/>
          <w:lang w:val="es-ES"/>
        </w:rPr>
        <w:t>solo cumple su función preventiva si llega oportunamente a los registros públicos. Sobre este deber, esta Agencia expidió la </w:t>
      </w:r>
      <w:r w:rsidRPr="00270E87">
        <w:rPr>
          <w:rFonts w:ascii="Verdana" w:hAnsi="Verdana"/>
          <w:b/>
          <w:bCs/>
          <w:lang w:val="es-ES"/>
        </w:rPr>
        <w:t>Circular Externa 002 del 5 de mayo de 2026,</w:t>
      </w:r>
      <w:r w:rsidRPr="00270E87">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C044BD">
        <w:rPr>
          <w:rFonts w:ascii="Verdana" w:hAnsi="Verdana"/>
          <w:lang w:val="it-CH"/>
        </w:rPr>
        <w:t>Consúltela aquí: </w:t>
      </w:r>
      <w:r>
        <w:fldChar w:fldCharType="begin"/>
      </w:r>
      <w:r>
        <w:instrText>HYPERLINK "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\h</w:instrText>
      </w:r>
      <w:r>
        <w:fldChar w:fldCharType="separate"/>
      </w:r>
      <w:r w:rsidRPr="00C044BD">
        <w:rPr>
          <w:rStyle w:val="Hyperlink"/>
          <w:rFonts w:ascii="Verdana" w:hAnsi="Verdana"/>
          <w:lang w:val="it-CH"/>
        </w:rPr>
        <w:t>https://www.colombiacompra.gov.co/archivos/circular/circular-externa-002-de-2026</w:t>
      </w:r>
      <w:r>
        <w:fldChar w:fldCharType="end"/>
      </w:r>
    </w:p>
    <w:p w14:paraId="798702C9" w14:textId="77777777" w:rsidR="00FE7B6C" w:rsidRPr="00C044BD" w:rsidRDefault="00FE7B6C" w:rsidP="00FE7B6C">
      <w:pPr>
        <w:spacing w:after="0" w:line="276" w:lineRule="auto"/>
        <w:jc w:val="both"/>
        <w:rPr>
          <w:rFonts w:ascii="Verdana" w:hAnsi="Verdana"/>
          <w:lang w:val="it-CH"/>
        </w:rPr>
      </w:pPr>
    </w:p>
    <w:p w14:paraId="4B82CB49" w14:textId="77777777" w:rsidR="00FE7B6C" w:rsidRPr="00270E87" w:rsidRDefault="00FE7B6C" w:rsidP="00FE7B6C">
      <w:pPr>
        <w:spacing w:after="0" w:line="276" w:lineRule="auto"/>
        <w:jc w:val="both"/>
        <w:rPr>
          <w:rFonts w:ascii="Verdana" w:hAnsi="Verdana"/>
          <w:lang w:val="es-ES"/>
        </w:rPr>
      </w:pPr>
      <w:r w:rsidRPr="00270E87">
        <w:rPr>
          <w:rFonts w:ascii="Verdana" w:hAnsi="Verdana"/>
          <w:lang w:val="es-ES"/>
        </w:rPr>
        <w:t>Finalmente, si quiere seguir de cerca la actividad de la Agencia, la tercera edición de 2026 del</w:t>
      </w:r>
      <w:r w:rsidRPr="00270E87">
        <w:rPr>
          <w:rFonts w:ascii="Verdana" w:hAnsi="Verdana"/>
          <w:b/>
          <w:bCs/>
          <w:lang w:val="es-ES"/>
        </w:rPr>
        <w:t> Radar de la Compra Pública</w:t>
      </w:r>
      <w:r w:rsidRPr="00270E87">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4">
        <w:r w:rsidRPr="00270E87">
          <w:rPr>
            <w:rStyle w:val="Hyperlink"/>
            <w:rFonts w:ascii="Verdana" w:hAnsi="Verdana"/>
            <w:lang w:val="es-ES"/>
          </w:rPr>
          <w:t>https://www.colombiacompra.gov.co/archivos/boletin/boletin-edicion-n-3-de-2026-radar-de-la-compra-publica</w:t>
        </w:r>
      </w:hyperlink>
    </w:p>
    <w:p w14:paraId="73BD8981" w14:textId="77777777" w:rsidR="00FE7B6C" w:rsidRPr="00270E87" w:rsidRDefault="00FE7B6C" w:rsidP="00FE7B6C">
      <w:pPr>
        <w:spacing w:line="276" w:lineRule="auto"/>
        <w:jc w:val="both"/>
        <w:rPr>
          <w:rFonts w:ascii="Verdana" w:hAnsi="Verdana"/>
          <w:lang w:val="es-ES"/>
        </w:rPr>
      </w:pPr>
    </w:p>
    <w:p w14:paraId="49511FD6" w14:textId="77777777" w:rsidR="00FE7B6C" w:rsidRPr="00270E87" w:rsidRDefault="00FE7B6C" w:rsidP="00FE7B6C">
      <w:pPr>
        <w:spacing w:after="0" w:line="276" w:lineRule="auto"/>
        <w:jc w:val="both"/>
        <w:rPr>
          <w:rFonts w:ascii="Verdana" w:hAnsi="Verdana"/>
          <w:lang w:val="es-ES"/>
        </w:rPr>
      </w:pPr>
      <w:r w:rsidRPr="00270E87">
        <w:rPr>
          <w:rFonts w:ascii="Verdana" w:hAnsi="Verdana"/>
          <w:lang w:val="es-ES"/>
        </w:rPr>
        <w:lastRenderedPageBreak/>
        <w:t xml:space="preserve">Por último, le invitamos a seguirnos en las redes sociales en las cuales se difunde información institucional: </w:t>
      </w:r>
    </w:p>
    <w:p w14:paraId="483F25E4" w14:textId="77777777" w:rsidR="00FE7B6C" w:rsidRPr="00270E87" w:rsidRDefault="00FE7B6C" w:rsidP="00FE7B6C">
      <w:pPr>
        <w:spacing w:after="0" w:line="276" w:lineRule="auto"/>
        <w:jc w:val="both"/>
        <w:rPr>
          <w:rFonts w:ascii="Verdana" w:hAnsi="Verdana"/>
          <w:lang w:val="es-ES"/>
        </w:rPr>
      </w:pPr>
    </w:p>
    <w:p w14:paraId="399D6ACE" w14:textId="77777777" w:rsidR="00FE7B6C" w:rsidRPr="00270E87" w:rsidRDefault="00FE7B6C" w:rsidP="00FE7B6C">
      <w:pPr>
        <w:spacing w:after="0" w:line="276" w:lineRule="auto"/>
        <w:jc w:val="both"/>
        <w:rPr>
          <w:rFonts w:ascii="Verdana" w:hAnsi="Verdana"/>
          <w:lang w:val="es-ES"/>
        </w:rPr>
      </w:pPr>
      <w:r w:rsidRPr="00270E87">
        <w:rPr>
          <w:rFonts w:ascii="Verdana" w:hAnsi="Verdana"/>
          <w:lang w:val="es-ES"/>
        </w:rPr>
        <w:t xml:space="preserve">Twitter: </w:t>
      </w:r>
      <w:r w:rsidRPr="00270E87">
        <w:rPr>
          <w:rStyle w:val="Hyperlink"/>
          <w:rFonts w:ascii="Verdana" w:hAnsi="Verdana" w:cs="Arial"/>
          <w:shd w:val="clear" w:color="auto" w:fill="FFFFFF"/>
          <w:lang w:val="es-ES"/>
        </w:rPr>
        <w:t>@colombiacompra</w:t>
      </w:r>
      <w:r w:rsidRPr="00270E87">
        <w:rPr>
          <w:rFonts w:ascii="Verdana" w:hAnsi="Verdana"/>
          <w:color w:val="4472C4" w:themeColor="accent1"/>
          <w:lang w:val="es-ES"/>
        </w:rPr>
        <w:t xml:space="preserve"> </w:t>
      </w:r>
    </w:p>
    <w:p w14:paraId="6717258B" w14:textId="77777777" w:rsidR="00FE7B6C" w:rsidRPr="00270E87" w:rsidRDefault="00FE7B6C" w:rsidP="00FE7B6C">
      <w:pPr>
        <w:spacing w:after="0" w:line="276" w:lineRule="auto"/>
        <w:jc w:val="both"/>
        <w:rPr>
          <w:rFonts w:ascii="Verdana" w:hAnsi="Verdana"/>
          <w:lang w:val="es-ES"/>
        </w:rPr>
      </w:pPr>
      <w:r w:rsidRPr="00270E87">
        <w:rPr>
          <w:rFonts w:ascii="Verdana" w:hAnsi="Verdana"/>
          <w:lang w:val="es-ES"/>
        </w:rPr>
        <w:t xml:space="preserve">Facebook: </w:t>
      </w:r>
      <w:proofErr w:type="spellStart"/>
      <w:r w:rsidRPr="00270E87">
        <w:rPr>
          <w:rStyle w:val="Hyperlink"/>
          <w:rFonts w:ascii="Verdana" w:hAnsi="Verdana" w:cs="Arial"/>
          <w:shd w:val="clear" w:color="auto" w:fill="FFFFFF"/>
          <w:lang w:val="es-ES"/>
        </w:rPr>
        <w:t>ColombiaCompraEficiente</w:t>
      </w:r>
      <w:proofErr w:type="spellEnd"/>
    </w:p>
    <w:p w14:paraId="7E0834FC" w14:textId="77777777" w:rsidR="00FE7B6C" w:rsidRPr="00270E87" w:rsidRDefault="00FE7B6C" w:rsidP="00FE7B6C">
      <w:pPr>
        <w:spacing w:after="0" w:line="276" w:lineRule="auto"/>
        <w:jc w:val="both"/>
        <w:rPr>
          <w:rFonts w:ascii="Verdana" w:hAnsi="Verdana"/>
          <w:lang w:val="es-ES"/>
        </w:rPr>
      </w:pPr>
      <w:r w:rsidRPr="00270E87">
        <w:rPr>
          <w:rFonts w:ascii="Verdana" w:hAnsi="Verdana"/>
          <w:lang w:val="es-ES"/>
        </w:rPr>
        <w:t xml:space="preserve">LinkedIn: </w:t>
      </w:r>
      <w:r w:rsidRPr="00270E87">
        <w:rPr>
          <w:rStyle w:val="Hyperlink"/>
          <w:rFonts w:ascii="Verdana" w:hAnsi="Verdana" w:cs="Arial"/>
          <w:shd w:val="clear" w:color="auto" w:fill="FFFFFF"/>
          <w:lang w:val="es-ES"/>
        </w:rPr>
        <w:t xml:space="preserve">Agencia Nacional de Contratación Pública - Colombia Compra Eficiente </w:t>
      </w:r>
      <w:r w:rsidRPr="00270E87">
        <w:rPr>
          <w:rFonts w:ascii="Verdana" w:hAnsi="Verdana"/>
          <w:lang w:val="es-ES"/>
        </w:rPr>
        <w:t xml:space="preserve">Instagram: </w:t>
      </w:r>
      <w:r w:rsidRPr="00270E87">
        <w:rPr>
          <w:rStyle w:val="Hyperlink"/>
          <w:rFonts w:ascii="Verdana" w:hAnsi="Verdana" w:cs="Arial"/>
          <w:shd w:val="clear" w:color="auto" w:fill="FFFFFF"/>
          <w:lang w:val="es-ES"/>
        </w:rPr>
        <w:t>@colombiacompraeficiente_cce</w:t>
      </w:r>
    </w:p>
    <w:p w14:paraId="1BE5B28B" w14:textId="77777777" w:rsidR="00FE7B6C" w:rsidRPr="00270E87" w:rsidRDefault="00FE7B6C" w:rsidP="00FE7B6C">
      <w:pPr>
        <w:widowControl w:val="0"/>
        <w:autoSpaceDE w:val="0"/>
        <w:autoSpaceDN w:val="0"/>
        <w:spacing w:after="0" w:line="276" w:lineRule="auto"/>
        <w:jc w:val="both"/>
        <w:rPr>
          <w:rFonts w:ascii="Verdana" w:hAnsi="Verdana" w:cs="Arial"/>
          <w:lang w:val="es-ES"/>
        </w:rPr>
      </w:pPr>
    </w:p>
    <w:p w14:paraId="55FF2FDF" w14:textId="77777777" w:rsidR="00FE7B6C" w:rsidRPr="00270E87" w:rsidRDefault="00FE7B6C" w:rsidP="00FE7B6C">
      <w:pPr>
        <w:widowControl w:val="0"/>
        <w:autoSpaceDE w:val="0"/>
        <w:autoSpaceDN w:val="0"/>
        <w:spacing w:after="0" w:line="276" w:lineRule="auto"/>
        <w:jc w:val="both"/>
        <w:rPr>
          <w:rFonts w:ascii="Verdana" w:hAnsi="Verdana" w:cs="Arial"/>
          <w:lang w:val="es-ES"/>
        </w:rPr>
      </w:pPr>
      <w:r w:rsidRPr="00270E87">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DC72C0" w14:textId="77777777" w:rsidR="00FE7B6C" w:rsidRPr="00270E87" w:rsidRDefault="00FE7B6C" w:rsidP="00FE7B6C">
      <w:pPr>
        <w:widowControl w:val="0"/>
        <w:autoSpaceDE w:val="0"/>
        <w:autoSpaceDN w:val="0"/>
        <w:spacing w:after="0" w:line="276" w:lineRule="auto"/>
        <w:jc w:val="both"/>
        <w:rPr>
          <w:rFonts w:ascii="Verdana" w:hAnsi="Verdana" w:cs="Arial"/>
          <w:lang w:val="es-ES"/>
        </w:rPr>
      </w:pPr>
    </w:p>
    <w:p w14:paraId="592B0970" w14:textId="12DB698C" w:rsidR="00FE7B6C" w:rsidRDefault="00C232AD" w:rsidP="00FE7B6C">
      <w:pPr>
        <w:spacing w:after="0" w:line="276" w:lineRule="auto"/>
        <w:rPr>
          <w:rFonts w:ascii="Verdana" w:hAnsi="Verdana" w:cs="Arial"/>
          <w:color w:val="000000" w:themeColor="text1"/>
          <w:lang w:val="es-ES" w:eastAsia="es-CO"/>
        </w:rPr>
      </w:pPr>
      <w:r>
        <w:rPr>
          <w:rFonts w:ascii="Verdana" w:hAnsi="Verdana" w:cs="Arial"/>
          <w:noProof/>
          <w:color w:val="000000" w:themeColor="text1"/>
          <w:lang w:val="es-ES" w:eastAsia="es-CO"/>
        </w:rPr>
        <w:drawing>
          <wp:anchor distT="0" distB="0" distL="114300" distR="114300" simplePos="0" relativeHeight="251659264" behindDoc="0" locked="0" layoutInCell="1" allowOverlap="1" wp14:anchorId="6522AF7E" wp14:editId="24142500">
            <wp:simplePos x="0" y="0"/>
            <wp:positionH relativeFrom="column">
              <wp:posOffset>1363134</wp:posOffset>
            </wp:positionH>
            <wp:positionV relativeFrom="paragraph">
              <wp:posOffset>289137</wp:posOffset>
            </wp:positionV>
            <wp:extent cx="3335655" cy="1242060"/>
            <wp:effectExtent l="0" t="0" r="4445" b="2540"/>
            <wp:wrapTopAndBottom/>
            <wp:docPr id="63915705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1" descr="A close-up of a docume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335655" cy="1242060"/>
                    </a:xfrm>
                    <a:prstGeom prst="rect">
                      <a:avLst/>
                    </a:prstGeom>
                  </pic:spPr>
                </pic:pic>
              </a:graphicData>
            </a:graphic>
            <wp14:sizeRelH relativeFrom="page">
              <wp14:pctWidth>0</wp14:pctWidth>
            </wp14:sizeRelH>
            <wp14:sizeRelV relativeFrom="page">
              <wp14:pctHeight>0</wp14:pctHeight>
            </wp14:sizeRelV>
          </wp:anchor>
        </w:drawing>
      </w:r>
      <w:r w:rsidR="00FE7B6C" w:rsidRPr="002B613F">
        <w:rPr>
          <w:rFonts w:ascii="Verdana" w:eastAsia="Times New Roman" w:hAnsi="Verdana" w:cs="Arial"/>
          <w:color w:val="000000" w:themeColor="text1"/>
          <w:lang w:val="es-ES" w:eastAsia="es-CO"/>
        </w:rPr>
        <w:t>Atentamente,</w:t>
      </w:r>
      <w:r w:rsidR="00FE7B6C" w:rsidRPr="002B613F">
        <w:rPr>
          <w:rFonts w:ascii="Verdana" w:hAnsi="Verdana" w:cs="Arial"/>
          <w:color w:val="000000" w:themeColor="text1"/>
          <w:lang w:val="es-ES" w:eastAsia="es-CO"/>
        </w:rPr>
        <w:t xml:space="preserve"> </w:t>
      </w:r>
    </w:p>
    <w:p w14:paraId="56CE35F2" w14:textId="77777777" w:rsidR="00FE7B6C" w:rsidRPr="002B613F" w:rsidRDefault="00FE7B6C" w:rsidP="00FE7B6C">
      <w:pPr>
        <w:rPr>
          <w:lang w:val="es-ES"/>
        </w:rPr>
      </w:pPr>
    </w:p>
    <w:tbl>
      <w:tblPr>
        <w:tblStyle w:val="TableGrid"/>
        <w:tblpPr w:leftFromText="180" w:rightFromText="180" w:vertAnchor="text" w:horzAnchor="margin" w:tblpY="-24"/>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E7B6C" w:rsidRPr="002B613F" w14:paraId="7F12D889" w14:textId="77777777" w:rsidTr="00D145FE">
        <w:trPr>
          <w:trHeight w:val="315"/>
        </w:trPr>
        <w:tc>
          <w:tcPr>
            <w:tcW w:w="893" w:type="dxa"/>
            <w:vAlign w:val="center"/>
            <w:hideMark/>
          </w:tcPr>
          <w:p w14:paraId="3FF868CB" w14:textId="77777777" w:rsidR="00FE7B6C" w:rsidRPr="002B613F" w:rsidRDefault="00FE7B6C" w:rsidP="00D145FE">
            <w:pPr>
              <w:contextualSpacing/>
              <w:rPr>
                <w:rFonts w:ascii="Verdana" w:hAnsi="Verdana" w:cs="Arial"/>
                <w:sz w:val="16"/>
                <w:szCs w:val="16"/>
                <w:lang w:val="es-ES" w:eastAsia="es-ES"/>
              </w:rPr>
            </w:pPr>
            <w:r w:rsidRPr="002B613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7D91275" w14:textId="77777777" w:rsidR="00FE7B6C" w:rsidRPr="002B613F" w:rsidRDefault="00FE7B6C" w:rsidP="00D145FE">
            <w:pPr>
              <w:contextualSpacing/>
              <w:rPr>
                <w:rFonts w:ascii="Verdana" w:eastAsia="Arial" w:hAnsi="Verdana" w:cs="Arial"/>
                <w:color w:val="000000" w:themeColor="text1"/>
                <w:sz w:val="16"/>
                <w:szCs w:val="16"/>
                <w:lang w:val="es-ES"/>
              </w:rPr>
            </w:pPr>
            <w:r w:rsidRPr="002B613F">
              <w:rPr>
                <w:rFonts w:ascii="Verdana" w:eastAsia="Arial" w:hAnsi="Verdana" w:cs="Arial"/>
                <w:color w:val="000000" w:themeColor="text1"/>
                <w:sz w:val="16"/>
                <w:szCs w:val="16"/>
                <w:lang w:val="es-ES"/>
              </w:rPr>
              <w:t>Anamaría Bonilla Prieto</w:t>
            </w:r>
          </w:p>
          <w:p w14:paraId="1DA5DCC3" w14:textId="77777777" w:rsidR="00FE7B6C" w:rsidRPr="002B613F" w:rsidRDefault="00FE7B6C" w:rsidP="00D145FE">
            <w:pPr>
              <w:contextualSpacing/>
              <w:rPr>
                <w:rFonts w:ascii="Verdana" w:eastAsia="Arial" w:hAnsi="Verdana" w:cs="Arial"/>
                <w:sz w:val="16"/>
                <w:szCs w:val="16"/>
                <w:lang w:val="es-ES"/>
              </w:rPr>
            </w:pPr>
            <w:r w:rsidRPr="002B613F">
              <w:rPr>
                <w:rStyle w:val="normaltextrun"/>
                <w:rFonts w:ascii="Verdana" w:eastAsia="Arial" w:hAnsi="Verdana" w:cs="Arial"/>
                <w:color w:val="000000" w:themeColor="text1"/>
                <w:sz w:val="16"/>
                <w:szCs w:val="16"/>
                <w:lang w:val="es-ES"/>
              </w:rPr>
              <w:t xml:space="preserve">Contratista de la Subdirección </w:t>
            </w:r>
            <w:r w:rsidRPr="002B613F">
              <w:rPr>
                <w:rStyle w:val="normaltextrun"/>
                <w:rFonts w:ascii="Verdana" w:eastAsia="Arial" w:hAnsi="Verdana" w:cs="Arial"/>
                <w:sz w:val="16"/>
                <w:szCs w:val="16"/>
                <w:lang w:val="es-ES"/>
              </w:rPr>
              <w:t>de Gestión Contractual</w:t>
            </w:r>
          </w:p>
        </w:tc>
      </w:tr>
      <w:tr w:rsidR="00FE7B6C" w:rsidRPr="002B613F" w14:paraId="40886FD3" w14:textId="77777777" w:rsidTr="00D145FE">
        <w:trPr>
          <w:trHeight w:val="330"/>
        </w:trPr>
        <w:tc>
          <w:tcPr>
            <w:tcW w:w="893" w:type="dxa"/>
            <w:vAlign w:val="center"/>
            <w:hideMark/>
          </w:tcPr>
          <w:p w14:paraId="110A0CB6" w14:textId="77777777" w:rsidR="00FE7B6C" w:rsidRPr="002B613F" w:rsidRDefault="00FE7B6C" w:rsidP="00D145FE">
            <w:pPr>
              <w:contextualSpacing/>
              <w:rPr>
                <w:rFonts w:ascii="Verdana" w:hAnsi="Verdana" w:cs="Arial"/>
                <w:sz w:val="16"/>
                <w:szCs w:val="16"/>
                <w:lang w:val="es-ES" w:eastAsia="es-ES"/>
              </w:rPr>
            </w:pPr>
            <w:r w:rsidRPr="002B613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966F38" w14:textId="77777777" w:rsidR="00FE7B6C" w:rsidRPr="002B613F" w:rsidRDefault="00FE7B6C" w:rsidP="00D145FE">
            <w:pPr>
              <w:spacing w:line="276" w:lineRule="auto"/>
              <w:contextualSpacing/>
              <w:textAlignment w:val="baseline"/>
              <w:rPr>
                <w:rStyle w:val="normaltextrun"/>
                <w:rFonts w:ascii="Verdana" w:eastAsia="Arial" w:hAnsi="Verdana"/>
                <w:color w:val="000000" w:themeColor="text1"/>
                <w:sz w:val="16"/>
                <w:szCs w:val="16"/>
                <w:lang w:val="es-ES"/>
              </w:rPr>
            </w:pPr>
            <w:r w:rsidRPr="002B613F">
              <w:rPr>
                <w:rStyle w:val="normaltextrun"/>
                <w:rFonts w:ascii="Verdana" w:eastAsia="Arial" w:hAnsi="Verdana"/>
                <w:color w:val="000000" w:themeColor="text1"/>
                <w:sz w:val="16"/>
                <w:szCs w:val="16"/>
                <w:lang w:val="es-ES"/>
              </w:rPr>
              <w:t>Alejandro Sarmiento Cantillo</w:t>
            </w:r>
          </w:p>
          <w:p w14:paraId="2B358DAA" w14:textId="77777777" w:rsidR="00FE7B6C" w:rsidRPr="002B613F" w:rsidRDefault="00FE7B6C" w:rsidP="00D145FE">
            <w:pPr>
              <w:pStyle w:val="paragraph"/>
              <w:spacing w:before="0" w:beforeAutospacing="0" w:after="0" w:afterAutospacing="0"/>
              <w:contextualSpacing/>
              <w:textAlignment w:val="baseline"/>
              <w:rPr>
                <w:rFonts w:ascii="Verdana" w:hAnsi="Verdana" w:cs="Segoe UI"/>
                <w:sz w:val="16"/>
                <w:szCs w:val="16"/>
                <w:lang w:val="es-ES"/>
              </w:rPr>
            </w:pPr>
            <w:r w:rsidRPr="002B613F">
              <w:rPr>
                <w:rStyle w:val="normaltextrun"/>
                <w:rFonts w:ascii="Verdana" w:eastAsia="Arial" w:hAnsi="Verdana"/>
                <w:color w:val="000000" w:themeColor="text1"/>
                <w:sz w:val="16"/>
                <w:szCs w:val="16"/>
                <w:lang w:val="es-ES" w:eastAsia="en-US"/>
              </w:rPr>
              <w:t xml:space="preserve">Gestor T1 – 15 </w:t>
            </w:r>
            <w:r w:rsidRPr="002B613F">
              <w:rPr>
                <w:rStyle w:val="normaltextrun"/>
                <w:rFonts w:ascii="Verdana" w:eastAsia="Arial" w:hAnsi="Verdana" w:cs="Arial"/>
                <w:color w:val="000000" w:themeColor="text1"/>
                <w:sz w:val="16"/>
                <w:szCs w:val="16"/>
                <w:lang w:val="es-ES" w:eastAsia="en-US"/>
              </w:rPr>
              <w:t>de la Subdirección de Gestión Contractual</w:t>
            </w:r>
            <w:r w:rsidRPr="002B613F">
              <w:rPr>
                <w:rStyle w:val="eop"/>
                <w:rFonts w:ascii="Verdana" w:hAnsi="Verdana" w:cs="Arial"/>
                <w:sz w:val="16"/>
                <w:szCs w:val="16"/>
                <w:lang w:val="es-ES"/>
              </w:rPr>
              <w:t> </w:t>
            </w:r>
          </w:p>
        </w:tc>
      </w:tr>
      <w:tr w:rsidR="00FE7B6C" w:rsidRPr="002B613F" w14:paraId="06BD98EB" w14:textId="77777777" w:rsidTr="00D145FE">
        <w:trPr>
          <w:trHeight w:val="300"/>
        </w:trPr>
        <w:tc>
          <w:tcPr>
            <w:tcW w:w="893" w:type="dxa"/>
            <w:vAlign w:val="center"/>
          </w:tcPr>
          <w:p w14:paraId="4D36CCEA" w14:textId="77777777" w:rsidR="00FE7B6C" w:rsidRPr="002B613F" w:rsidRDefault="00FE7B6C" w:rsidP="00D145FE">
            <w:pPr>
              <w:contextualSpacing/>
              <w:rPr>
                <w:rFonts w:ascii="Verdana" w:hAnsi="Verdana" w:cs="Arial"/>
                <w:sz w:val="16"/>
                <w:szCs w:val="16"/>
                <w:lang w:val="es-ES" w:eastAsia="es-ES"/>
              </w:rPr>
            </w:pPr>
            <w:r w:rsidRPr="002B613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600FFD" w14:textId="77777777" w:rsidR="00FE7B6C" w:rsidRPr="00420DE9" w:rsidRDefault="00FE7B6C" w:rsidP="00D145FE">
            <w:pPr>
              <w:textAlignment w:val="baseline"/>
              <w:rPr>
                <w:rStyle w:val="normaltextrun"/>
                <w:rFonts w:ascii="Verdana" w:eastAsia="Arial" w:hAnsi="Verdana"/>
                <w:sz w:val="16"/>
                <w:szCs w:val="16"/>
              </w:rPr>
            </w:pPr>
            <w:r w:rsidRPr="00420DE9">
              <w:rPr>
                <w:rStyle w:val="normaltextrun"/>
                <w:rFonts w:ascii="Verdana" w:eastAsia="Arial" w:hAnsi="Verdana"/>
                <w:sz w:val="16"/>
                <w:szCs w:val="16"/>
              </w:rPr>
              <w:t>William Javier Murcia Acevedo</w:t>
            </w:r>
          </w:p>
          <w:p w14:paraId="625234B9" w14:textId="77777777" w:rsidR="00FE7B6C" w:rsidRPr="00420DE9" w:rsidRDefault="00FE7B6C" w:rsidP="00D145FE">
            <w:pPr>
              <w:textAlignment w:val="baseline"/>
              <w:rPr>
                <w:rFonts w:ascii="Verdana" w:eastAsia="Times New Roman" w:hAnsi="Verdana" w:cs="Segoe UI"/>
                <w:b/>
                <w:bCs/>
                <w:color w:val="46589C"/>
                <w:lang w:val="es-ES" w:eastAsia="es-CO"/>
              </w:rPr>
            </w:pPr>
            <w:r w:rsidRPr="00420DE9">
              <w:rPr>
                <w:rStyle w:val="normaltextrun"/>
                <w:rFonts w:ascii="Verdana" w:eastAsia="Arial" w:hAnsi="Verdana"/>
                <w:sz w:val="16"/>
                <w:szCs w:val="16"/>
              </w:rPr>
              <w:t>Subdirector de Gestión Contractual (E)</w:t>
            </w:r>
          </w:p>
        </w:tc>
      </w:tr>
    </w:tbl>
    <w:p w14:paraId="32A01E94" w14:textId="77777777" w:rsidR="00FE7B6C" w:rsidRPr="00270E87" w:rsidRDefault="00FE7B6C" w:rsidP="00FE7B6C">
      <w:pPr>
        <w:rPr>
          <w:lang w:val="es-ES"/>
        </w:rPr>
      </w:pPr>
    </w:p>
    <w:p w14:paraId="43C1D7E0" w14:textId="77777777" w:rsidR="00FE7B6C" w:rsidRPr="00270E87" w:rsidRDefault="00FE7B6C" w:rsidP="00FE7B6C">
      <w:pPr>
        <w:rPr>
          <w:lang w:val="es-ES"/>
        </w:rPr>
      </w:pPr>
    </w:p>
    <w:p w14:paraId="7E838A7B" w14:textId="77777777" w:rsidR="00FE7B6C" w:rsidRPr="00326475" w:rsidRDefault="00FE7B6C" w:rsidP="00FE7B6C"/>
    <w:p w14:paraId="258121FC" w14:textId="77777777" w:rsidR="004E5456" w:rsidRPr="00CE6B90" w:rsidRDefault="004E5456" w:rsidP="004E5456"/>
    <w:p w14:paraId="0F293BF4" w14:textId="1CF07FA8" w:rsidR="00127233" w:rsidRPr="00CE6B90" w:rsidRDefault="00127233" w:rsidP="00CE6B90"/>
    <w:sectPr w:rsidR="00127233" w:rsidRPr="00CE6B9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22B3A" w14:textId="77777777" w:rsidR="000B59EF" w:rsidRDefault="000B59EF" w:rsidP="004A1847">
      <w:pPr>
        <w:spacing w:after="0" w:line="240" w:lineRule="auto"/>
      </w:pPr>
      <w:r>
        <w:separator/>
      </w:r>
    </w:p>
  </w:endnote>
  <w:endnote w:type="continuationSeparator" w:id="0">
    <w:p w14:paraId="71ACAA92" w14:textId="77777777" w:rsidR="000B59EF" w:rsidRDefault="000B59EF" w:rsidP="004A1847">
      <w:pPr>
        <w:spacing w:after="0" w:line="240" w:lineRule="auto"/>
      </w:pPr>
      <w:r>
        <w:continuationSeparator/>
      </w:r>
    </w:p>
  </w:endnote>
  <w:endnote w:type="continuationNotice" w:id="1">
    <w:p w14:paraId="2FF7046A" w14:textId="77777777" w:rsidR="000B59EF" w:rsidRDefault="000B59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7096C" w14:textId="77777777" w:rsidR="000B59EF" w:rsidRDefault="000B59EF" w:rsidP="004A1847">
      <w:pPr>
        <w:spacing w:after="0" w:line="240" w:lineRule="auto"/>
      </w:pPr>
      <w:r>
        <w:separator/>
      </w:r>
    </w:p>
  </w:footnote>
  <w:footnote w:type="continuationSeparator" w:id="0">
    <w:p w14:paraId="6E051DA7" w14:textId="77777777" w:rsidR="000B59EF" w:rsidRDefault="000B59EF" w:rsidP="004A1847">
      <w:pPr>
        <w:spacing w:after="0" w:line="240" w:lineRule="auto"/>
      </w:pPr>
      <w:r>
        <w:continuationSeparator/>
      </w:r>
    </w:p>
  </w:footnote>
  <w:footnote w:type="continuationNotice" w:id="1">
    <w:p w14:paraId="683830CA" w14:textId="77777777" w:rsidR="000B59EF" w:rsidRDefault="000B59EF">
      <w:pPr>
        <w:spacing w:after="0" w:line="240" w:lineRule="auto"/>
      </w:pPr>
    </w:p>
  </w:footnote>
  <w:footnote w:id="2">
    <w:p w14:paraId="588E3E86"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Consejo de Estado. Sección Tercera. Subsección A. Sentencia del 1 de octubre de 2014. Rad. 25000-23-26-000-2005-00214-01 (34.778). C.P. (E) Hernán Andrade Rincón. Citando: C</w:t>
      </w:r>
      <w:proofErr w:type="spellStart"/>
      <w:r w:rsidRPr="00BB4186">
        <w:rPr>
          <w:rFonts w:ascii="Verdana" w:hAnsi="Verdana" w:cs="Arial"/>
          <w:color w:val="000000" w:themeColor="text1"/>
          <w:sz w:val="16"/>
          <w:szCs w:val="16"/>
          <w:lang w:val="es-CO"/>
        </w:rPr>
        <w:t>onsejo</w:t>
      </w:r>
      <w:proofErr w:type="spellEnd"/>
      <w:r w:rsidRPr="00BB4186">
        <w:rPr>
          <w:rFonts w:ascii="Verdana" w:hAnsi="Verdana" w:cs="Arial"/>
          <w:color w:val="000000" w:themeColor="text1"/>
          <w:sz w:val="16"/>
          <w:szCs w:val="16"/>
          <w:lang w:val="es-CO"/>
        </w:rPr>
        <w:t xml:space="preserve"> de Estado. Sala de lo Contencioso Administrativo. Sección Tercera, Subsección B, 3 de mayo de 2013, radicación número: 25000-23-26- 000-1998-01825-01 (23734). Consejero Ponente (E): Danilo Rojas </w:t>
      </w:r>
      <w:proofErr w:type="spellStart"/>
      <w:r w:rsidRPr="00BB4186">
        <w:rPr>
          <w:rFonts w:ascii="Verdana" w:hAnsi="Verdana" w:cs="Arial"/>
          <w:color w:val="000000" w:themeColor="text1"/>
          <w:sz w:val="16"/>
          <w:szCs w:val="16"/>
          <w:lang w:val="es-CO"/>
        </w:rPr>
        <w:t>Betancourth</w:t>
      </w:r>
      <w:proofErr w:type="spellEnd"/>
      <w:r w:rsidRPr="00BB4186">
        <w:rPr>
          <w:rFonts w:ascii="Verdana" w:hAnsi="Verdana" w:cs="Arial"/>
          <w:color w:val="000000" w:themeColor="text1"/>
          <w:sz w:val="16"/>
          <w:szCs w:val="16"/>
          <w:lang w:val="es-CO"/>
        </w:rPr>
        <w:t>,</w:t>
      </w:r>
    </w:p>
  </w:footnote>
  <w:footnote w:id="3">
    <w:p w14:paraId="285B52EB"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Consejo de Estado. Sección Tercera. Subsección B. Sentencia del 31 de agosto de 2017. Rad. 25000-23-26-000-1999-00744-01 (25.740). C.P. Ramiro Pazos Guerrero.</w:t>
      </w:r>
    </w:p>
  </w:footnote>
  <w:footnote w:id="4">
    <w:p w14:paraId="5288D3DE"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Consejo de Estado. Sección Tercera. Subsección A. Sentencia del 6 de diciembre de 2024. Rad. 25000-23-36-000-2014-00859-01 (60.644). C.P. María Adriana Marín. Citando: </w:t>
      </w:r>
      <w:r w:rsidRPr="00BB4186">
        <w:rPr>
          <w:rFonts w:ascii="Verdana" w:hAnsi="Verdana" w:cs="Arial"/>
          <w:color w:val="000000" w:themeColor="text1"/>
          <w:sz w:val="16"/>
          <w:szCs w:val="16"/>
          <w:lang w:val="es-CO"/>
        </w:rPr>
        <w:t>Consejo de Estado, Sección Tercera, sentencia 3 de mayo de 2013, Rad. 23734 (fundamento jurídico 7), en Antología Jurisprudencias y Conceptos, Consejo de Estado 1817-2017 Sección Tercera Tomo A, Bogotá, Imprenta Nacional, 2018, pp. 236-237, disponible en https://cutt.ly/0Q9KFJH.</w:t>
      </w:r>
    </w:p>
  </w:footnote>
  <w:footnote w:id="5">
    <w:p w14:paraId="608D53A9"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6">
    <w:p w14:paraId="28CF5655"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7">
    <w:p w14:paraId="352FCFD9" w14:textId="77777777" w:rsidR="00FE7B6C" w:rsidRPr="00933F37" w:rsidRDefault="00FE7B6C" w:rsidP="00FE7B6C">
      <w:pPr>
        <w:pStyle w:val="FootnoteText"/>
        <w:ind w:firstLine="709"/>
        <w:jc w:val="both"/>
        <w:rPr>
          <w:rFonts w:ascii="Verdana" w:hAnsi="Verdana" w:cs="Arial"/>
          <w:color w:val="000000" w:themeColor="text1"/>
          <w:sz w:val="16"/>
          <w:szCs w:val="16"/>
        </w:rPr>
      </w:pPr>
    </w:p>
    <w:p w14:paraId="064590ED"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C. Sentencia del 26 de febrero de 2014. Expediente: 25.804. Consejero Ponente: Enrique Gil Botero.</w:t>
      </w:r>
    </w:p>
  </w:footnote>
  <w:footnote w:id="8">
    <w:p w14:paraId="35D58673"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Style w:val="FootnoteReference"/>
          <w:rFonts w:ascii="Verdana" w:hAnsi="Verdana" w:cs="Arial"/>
          <w:color w:val="000000" w:themeColor="text1"/>
          <w:sz w:val="16"/>
          <w:szCs w:val="16"/>
        </w:rPr>
        <w:t xml:space="preserve"> </w:t>
      </w:r>
      <w:r w:rsidRPr="00933F37">
        <w:rPr>
          <w:rFonts w:ascii="Verdana" w:hAnsi="Verdana" w:cs="Arial"/>
          <w:color w:val="000000" w:themeColor="text1"/>
          <w:sz w:val="16"/>
          <w:szCs w:val="16"/>
        </w:rPr>
        <w:t>Ley 1150 de 2007, artículo 5, parágrafo 4°: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B93C603" w14:textId="77777777" w:rsidR="00FE7B6C" w:rsidRPr="00933F37" w:rsidRDefault="00FE7B6C" w:rsidP="00FE7B6C">
      <w:pPr>
        <w:pStyle w:val="FootnoteText"/>
        <w:ind w:firstLine="709"/>
        <w:jc w:val="both"/>
        <w:rPr>
          <w:rFonts w:ascii="Verdana" w:hAnsi="Verdana" w:cs="Arial"/>
          <w:color w:val="000000" w:themeColor="text1"/>
          <w:sz w:val="16"/>
          <w:szCs w:val="16"/>
        </w:rPr>
      </w:pPr>
    </w:p>
  </w:footnote>
  <w:footnote w:id="9">
    <w:p w14:paraId="4F2051EE" w14:textId="77777777" w:rsidR="00FE7B6C" w:rsidRPr="00933F37" w:rsidRDefault="00FE7B6C" w:rsidP="00FE7B6C">
      <w:pPr>
        <w:pStyle w:val="NormalWeb"/>
        <w:shd w:val="clear" w:color="auto" w:fill="FFFFFF"/>
        <w:spacing w:before="0" w:beforeAutospacing="0" w:after="0" w:afterAutospacing="0"/>
        <w:ind w:firstLine="708"/>
        <w:jc w:val="both"/>
        <w:rPr>
          <w:rFonts w:ascii="Verdana" w:hAnsi="Verdana" w:cs="Arial"/>
          <w:color w:val="000000" w:themeColor="text1"/>
          <w:sz w:val="16"/>
          <w:szCs w:val="16"/>
          <w:lang w:val="es-ES" w:eastAsia="en-U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w:t>
      </w:r>
      <w:r w:rsidRPr="00933F37">
        <w:rPr>
          <w:rFonts w:ascii="Verdana" w:hAnsi="Verdana" w:cs="Arial"/>
          <w:bCs/>
          <w:color w:val="000000" w:themeColor="text1"/>
          <w:sz w:val="16"/>
          <w:szCs w:val="16"/>
          <w:shd w:val="clear" w:color="auto" w:fill="FFFFFF"/>
        </w:rPr>
        <w:t>2.2.1.2.1.5.2</w:t>
      </w:r>
      <w:r w:rsidRPr="00933F37">
        <w:rPr>
          <w:rFonts w:ascii="Verdana" w:hAnsi="Verdana" w:cs="Arial"/>
          <w:color w:val="000000" w:themeColor="text1"/>
          <w:sz w:val="16"/>
          <w:szCs w:val="16"/>
          <w:lang w:val="es-ES" w:eastAsia="en-US"/>
        </w:rPr>
        <w:t xml:space="preserve">. </w:t>
      </w:r>
      <w:r w:rsidRPr="00933F37">
        <w:rPr>
          <w:rFonts w:ascii="Verdana" w:hAnsi="Verdana" w:cs="Arial"/>
          <w:bCs/>
          <w:color w:val="000000" w:themeColor="text1"/>
          <w:sz w:val="16"/>
          <w:szCs w:val="16"/>
          <w:lang w:val="es-ES" w:eastAsia="en-US"/>
        </w:rPr>
        <w:t>Procedimiento para la contratación de mínima cuantía.</w:t>
      </w:r>
      <w:r w:rsidRPr="00933F37">
        <w:rPr>
          <w:rFonts w:ascii="Verdana" w:hAnsi="Verdana" w:cs="Arial"/>
          <w:color w:val="000000" w:themeColor="text1"/>
          <w:sz w:val="16"/>
          <w:szCs w:val="16"/>
          <w:lang w:val="es-ES" w:eastAsia="en-US"/>
        </w:rPr>
        <w:t> Las siguientes reglas son aplicables a la contratación cuyo valor no excede del diez por ciento (10%) de la menor cuantía de la Entidad Estatal, independientemente de su objeto:</w:t>
      </w:r>
    </w:p>
    <w:p w14:paraId="25F4066F" w14:textId="77777777" w:rsidR="00FE7B6C" w:rsidRPr="00933F37" w:rsidRDefault="00FE7B6C" w:rsidP="00FE7B6C">
      <w:pPr>
        <w:pStyle w:val="NormalWeb"/>
        <w:shd w:val="clear" w:color="auto" w:fill="FFFFFF"/>
        <w:spacing w:before="0" w:beforeAutospacing="0" w:after="0" w:afterAutospacing="0"/>
        <w:ind w:firstLine="708"/>
        <w:jc w:val="both"/>
        <w:rPr>
          <w:rFonts w:ascii="Verdana" w:hAnsi="Verdana" w:cs="Arial"/>
          <w:color w:val="000000" w:themeColor="text1"/>
          <w:sz w:val="16"/>
          <w:szCs w:val="16"/>
          <w:lang w:val="es-ES" w:eastAsia="en-US"/>
        </w:rPr>
      </w:pPr>
      <w:r w:rsidRPr="00933F37">
        <w:rPr>
          <w:rFonts w:ascii="Verdana" w:hAnsi="Verdana" w:cs="Arial"/>
          <w:color w:val="000000" w:themeColor="text1"/>
          <w:sz w:val="16"/>
          <w:szCs w:val="16"/>
          <w:lang w:val="es-ES" w:eastAsia="en-US"/>
        </w:rPr>
        <w:t>[…]</w:t>
      </w:r>
    </w:p>
    <w:p w14:paraId="1DA7842D" w14:textId="77777777" w:rsidR="00FE7B6C" w:rsidRPr="00933F37" w:rsidRDefault="00FE7B6C" w:rsidP="00FE7B6C">
      <w:pPr>
        <w:pStyle w:val="NormalWeb"/>
        <w:shd w:val="clear" w:color="auto" w:fill="FFFFFF"/>
        <w:spacing w:before="0" w:beforeAutospacing="0" w:after="0" w:afterAutospacing="0"/>
        <w:ind w:firstLine="708"/>
        <w:jc w:val="both"/>
        <w:rPr>
          <w:rFonts w:ascii="Verdana" w:hAnsi="Verdana" w:cs="Arial"/>
          <w:color w:val="000000" w:themeColor="text1"/>
          <w:sz w:val="16"/>
          <w:szCs w:val="16"/>
          <w:lang w:val="es-ES" w:eastAsia="en-US"/>
        </w:rPr>
      </w:pPr>
      <w:r w:rsidRPr="00933F37">
        <w:rPr>
          <w:rFonts w:ascii="Verdana" w:hAnsi="Verdana" w:cs="Arial"/>
          <w:color w:val="000000" w:themeColor="text1"/>
          <w:sz w:val="16"/>
          <w:szCs w:val="16"/>
          <w:lang w:val="es-ES" w:eastAsia="en-U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1" w:anchor="5" w:history="1">
        <w:r w:rsidRPr="00933F37">
          <w:rPr>
            <w:rFonts w:ascii="Verdana" w:hAnsi="Verdana" w:cs="Arial"/>
            <w:color w:val="000000" w:themeColor="text1"/>
            <w:sz w:val="16"/>
            <w:szCs w:val="16"/>
            <w:u w:val="single"/>
            <w:lang w:val="es-ES" w:eastAsia="en-US"/>
          </w:rPr>
          <w:t>5 </w:t>
        </w:r>
      </w:hyperlink>
      <w:r w:rsidRPr="00933F37">
        <w:rPr>
          <w:rFonts w:ascii="Verdana" w:hAnsi="Verdana" w:cs="Arial"/>
          <w:color w:val="000000" w:themeColor="text1"/>
          <w:sz w:val="16"/>
          <w:szCs w:val="16"/>
          <w:lang w:val="es-ES" w:eastAsia="en-U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933F37">
        <w:rPr>
          <w:rFonts w:ascii="Verdana" w:hAnsi="Verdana" w:cs="Arial"/>
          <w:color w:val="000000" w:themeColor="text1"/>
          <w:sz w:val="16"/>
          <w:szCs w:val="16"/>
        </w:rPr>
        <w:t>”</w:t>
      </w:r>
      <w:r w:rsidRPr="00933F37">
        <w:rPr>
          <w:rFonts w:ascii="Verdana" w:hAnsi="Verdana" w:cs="Arial"/>
          <w:color w:val="000000" w:themeColor="text1"/>
          <w:sz w:val="16"/>
          <w:szCs w:val="16"/>
          <w:lang w:val="es-ES" w:eastAsia="en-US"/>
        </w:rPr>
        <w:t>.</w:t>
      </w:r>
    </w:p>
    <w:p w14:paraId="3E868080" w14:textId="77777777" w:rsidR="00FE7B6C" w:rsidRPr="00933F37" w:rsidRDefault="00FE7B6C" w:rsidP="00FE7B6C">
      <w:pPr>
        <w:pStyle w:val="FootnoteText"/>
        <w:jc w:val="both"/>
        <w:rPr>
          <w:rFonts w:ascii="Verdana" w:hAnsi="Verdana"/>
          <w:color w:val="000000" w:themeColor="text1"/>
          <w:sz w:val="16"/>
          <w:szCs w:val="16"/>
          <w:lang w:val="es-ES"/>
        </w:rPr>
      </w:pPr>
    </w:p>
  </w:footnote>
  <w:footnote w:id="10">
    <w:p w14:paraId="48FC7349"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17DF879F"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Fonts w:ascii="Verdana" w:hAnsi="Verdana" w:cs="Arial"/>
          <w:color w:val="000000" w:themeColor="text1"/>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1">
    <w:p w14:paraId="756298E7"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Ver Consejo de Estado, Sección Tercera, Subsección C. Sentencia del 26 de enero de 2011. C.P. Jaime Orlando Santofimio. Rad. 36.408.  </w:t>
      </w:r>
    </w:p>
  </w:footnote>
  <w:footnote w:id="12">
    <w:p w14:paraId="6290D452"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Ver Consejo de Estado, Sección Tercera, Subsección C. Sentencia del 26 de febrero de 2014. C.P. Enrique Gil Botero. Rad. 25.804.  </w:t>
      </w:r>
    </w:p>
  </w:footnote>
  <w:footnote w:id="13">
    <w:p w14:paraId="692E381C" w14:textId="77777777" w:rsidR="00FE7B6C" w:rsidRPr="00933F37" w:rsidRDefault="00FE7B6C" w:rsidP="00FE7B6C">
      <w:pPr>
        <w:pStyle w:val="FootnoteText"/>
        <w:ind w:firstLine="709"/>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Sala de Consulta y Servicio Civil. Concepto del 20 de mayo de 2010. Expediente: 1992. Consejero Ponente: Enrique José Arboleda Perdomo.</w:t>
      </w:r>
    </w:p>
    <w:p w14:paraId="2D2B80B6" w14:textId="77777777" w:rsidR="00FE7B6C" w:rsidRPr="00933F37" w:rsidRDefault="00FE7B6C" w:rsidP="00FE7B6C">
      <w:pPr>
        <w:pStyle w:val="FootnoteText"/>
        <w:ind w:firstLine="709"/>
        <w:jc w:val="both"/>
        <w:rPr>
          <w:rFonts w:ascii="Verdana" w:hAnsi="Verdana" w:cs="Arial"/>
          <w:color w:val="000000" w:themeColor="text1"/>
          <w:sz w:val="16"/>
          <w:szCs w:val="16"/>
        </w:rPr>
      </w:pPr>
    </w:p>
  </w:footnote>
  <w:footnote w:id="14">
    <w:p w14:paraId="78F5873A"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C. Sentencia del 12 de noviembre de 2014. Rad. 25000-23-26-000-1996-12809-01 (27.986). C.P. Enrique Gil Botero.</w:t>
      </w:r>
    </w:p>
  </w:footnote>
  <w:footnote w:id="15">
    <w:p w14:paraId="7E51B65A" w14:textId="77777777" w:rsidR="00FE7B6C" w:rsidRPr="00933F37" w:rsidRDefault="00FE7B6C" w:rsidP="00FE7B6C">
      <w:pPr>
        <w:pStyle w:val="FootnoteText"/>
        <w:ind w:firstLine="708"/>
        <w:jc w:val="both"/>
        <w:rPr>
          <w:rFonts w:ascii="Verdana" w:hAnsi="Verdana"/>
          <w:color w:val="000000" w:themeColor="text1"/>
          <w:sz w:val="16"/>
          <w:szCs w:val="16"/>
          <w:lang w:val="es-ES"/>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olor w:val="000000" w:themeColor="text1"/>
          <w:sz w:val="16"/>
          <w:szCs w:val="16"/>
          <w:lang w:val="es-ES"/>
        </w:rPr>
        <w:t xml:space="preserve">Ibidem. </w:t>
      </w:r>
    </w:p>
  </w:footnote>
  <w:footnote w:id="16">
    <w:p w14:paraId="1FCD8552" w14:textId="77777777" w:rsidR="00FE7B6C" w:rsidRPr="00933F37" w:rsidRDefault="00FE7B6C" w:rsidP="00FE7B6C">
      <w:pPr>
        <w:pStyle w:val="FootnoteText"/>
        <w:ind w:firstLine="708"/>
        <w:jc w:val="both"/>
        <w:rPr>
          <w:rFonts w:ascii="Verdana" w:hAnsi="Verdana"/>
          <w:color w:val="000000" w:themeColor="text1"/>
          <w:sz w:val="16"/>
          <w:szCs w:val="16"/>
          <w:lang w:val="es-ES"/>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olor w:val="000000" w:themeColor="text1"/>
          <w:sz w:val="16"/>
          <w:szCs w:val="16"/>
          <w:lang w:val="es-CO"/>
        </w:rPr>
        <w:t xml:space="preserve">Agencia Nacional de Contratación Pública – Colombia Compra Eficiente. </w:t>
      </w:r>
      <w:r w:rsidRPr="00933F37">
        <w:rPr>
          <w:rFonts w:ascii="Verdana" w:hAnsi="Verdana"/>
          <w:i/>
          <w:iCs/>
          <w:color w:val="000000" w:themeColor="text1"/>
          <w:sz w:val="16"/>
          <w:szCs w:val="16"/>
          <w:lang w:val="es-CO"/>
        </w:rPr>
        <w:t>Manual para determinar y verificar los requisitos habilitantes en los Procesos de Contratación</w:t>
      </w:r>
      <w:r w:rsidRPr="00933F37">
        <w:rPr>
          <w:rFonts w:ascii="Verdana" w:hAnsi="Verdana"/>
          <w:color w:val="000000" w:themeColor="text1"/>
          <w:sz w:val="16"/>
          <w:szCs w:val="16"/>
          <w:lang w:val="es-CO"/>
        </w:rPr>
        <w:t xml:space="preserve">. Código CCE-EICP-MA-04, versión 3, 29 de septiembre de 2023. Disponible en: </w:t>
      </w:r>
      <w:hyperlink r:id="rId2" w:history="1">
        <w:r w:rsidRPr="00933F37">
          <w:rPr>
            <w:rStyle w:val="Hyperlink"/>
            <w:rFonts w:ascii="Verdana" w:hAnsi="Verdana"/>
            <w:color w:val="000000" w:themeColor="text1"/>
            <w:sz w:val="16"/>
            <w:szCs w:val="16"/>
            <w:lang w:val="es-CO"/>
          </w:rPr>
          <w:t>https://www.colombiacompra.gov.co/wp-content/uploads/2024/08/cce-eicp-ma-04._manual_requisitos_habilitantes_v3_29-09-2023.pdf</w:t>
        </w:r>
      </w:hyperlink>
    </w:p>
  </w:footnote>
  <w:footnote w:id="17">
    <w:p w14:paraId="2A80608D"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s="Arial"/>
          <w:color w:val="000000" w:themeColor="text1"/>
          <w:sz w:val="16"/>
          <w:szCs w:val="16"/>
        </w:rPr>
        <w:t>Consejo de Estado. Sección Tercera. Subsección C. Sentencia del 12 de noviembre de 2014. Rad. 25000-23-26-000-1996-12809-01 (27.986). C.P. Enrique Gil Botero.</w:t>
      </w:r>
    </w:p>
  </w:footnote>
  <w:footnote w:id="18">
    <w:p w14:paraId="2964D14B"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w:t>
      </w:r>
      <w:r w:rsidRPr="00E374A0">
        <w:rPr>
          <w:rFonts w:ascii="Verdana" w:hAnsi="Verdana" w:cs="Arial"/>
          <w:color w:val="000000" w:themeColor="text1"/>
          <w:sz w:val="16"/>
          <w:szCs w:val="16"/>
        </w:rPr>
        <w:t>Consejo de Estado. Sección Tercera. Subsección A. Sentencia del 11 de agosto de 2025. Rad. 25000-23-36-000-2015-02694-02 (72.288). C.P. José Roberto Sáchica Méndez.</w:t>
      </w:r>
    </w:p>
  </w:footnote>
  <w:footnote w:id="19">
    <w:p w14:paraId="1BBDE4FE"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w:t>
      </w:r>
      <w:r w:rsidRPr="00E374A0">
        <w:rPr>
          <w:rFonts w:ascii="Verdana" w:hAnsi="Verdana" w:cs="Arial"/>
          <w:color w:val="000000" w:themeColor="text1"/>
          <w:sz w:val="16"/>
          <w:szCs w:val="16"/>
        </w:rPr>
        <w:t>Consejo de Estado. Sección Tercera. Subsección A. Sentencia del 11 de agosto de 2025. Rad. 25000-23-36-000-2015-02694-02 (72.288). C.P. José Roberto Sáchica Méndez.</w:t>
      </w:r>
    </w:p>
  </w:footnote>
  <w:footnote w:id="20">
    <w:p w14:paraId="1A04B8D2"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Agencia Nacional de Contratación Pública – Colombia Compra Eficiente. Manual para determinar y verificar los requisitos habilitantes en los Procesos de Contratación. Código CCE-EICP-MA-04, versión 3 del 29 de septiembre de 2023, pp. 11-12.</w:t>
      </w:r>
    </w:p>
  </w:footnote>
  <w:footnote w:id="21">
    <w:p w14:paraId="42332196"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Sala de Consulta y Servicio Civil. Concepto del 6 de diciembre de 2007. Rad. 11001-03-06-000-2007-00101-00 (1871). C.P. Luis Fernando Álvarez Jaramillo.</w:t>
      </w:r>
    </w:p>
  </w:footnote>
  <w:footnote w:id="22">
    <w:p w14:paraId="3E9C5467"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Ver: Agencia Nacional de Contratación Pública – Colombia Compra Eficiente. Concepto C-812 del 16 de diciembre de 2024.</w:t>
      </w:r>
    </w:p>
  </w:footnote>
  <w:footnote w:id="23">
    <w:p w14:paraId="191D5C87"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w:t>
      </w:r>
      <w:r w:rsidRPr="00E374A0">
        <w:rPr>
          <w:rFonts w:ascii="Verdana" w:hAnsi="Verdana" w:cs="Arial"/>
          <w:color w:val="000000" w:themeColor="text1"/>
          <w:sz w:val="16"/>
          <w:szCs w:val="16"/>
        </w:rPr>
        <w:t>Consejo de Estado. Sección Tercera. Subsección A. Sentencia del 13 de agosto de 2024. Rad. 25000-23-36-000-2020-00230-01 (70.670). C.P. Fernando Alexei Pardo Flórez.</w:t>
      </w:r>
    </w:p>
  </w:footnote>
  <w:footnote w:id="24">
    <w:p w14:paraId="0E5ED640"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Agencia Nacional de Contratación Pública – Colombia Compra Eficiente. Concepto C-1376 del 31 de octubre de 2025. En el mismo sentido, Concepto C-1609 del 3 de diciembre de 2025.</w:t>
      </w:r>
    </w:p>
  </w:footnote>
  <w:footnote w:id="25">
    <w:p w14:paraId="674E1F21"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Esta norma prescribe que “Para que una persona se obligue a otra por un acto o declaración de voluntad, es necesario:</w:t>
      </w:r>
    </w:p>
    <w:p w14:paraId="3B0D1293"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1o.) que sea legalmente capaz;</w:t>
      </w:r>
    </w:p>
    <w:p w14:paraId="7F8E6638"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2o.) que consienta en dicho acto o declaración y su consentimiento no adolezca de vicio;</w:t>
      </w:r>
    </w:p>
    <w:p w14:paraId="14F463DD"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3o.) que recaiga sobre un objeto lícito;</w:t>
      </w:r>
    </w:p>
    <w:p w14:paraId="7EA7CFF3"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4o.) que tenga una causa lícita.</w:t>
      </w:r>
    </w:p>
    <w:p w14:paraId="06E1A61A"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La capacidad legal de una persona consiste en poderse obligar por sí misma, y sin el ministerio o la autorización de otra”.</w:t>
      </w:r>
    </w:p>
  </w:footnote>
  <w:footnote w:id="26">
    <w:p w14:paraId="19ADDAA3" w14:textId="77777777" w:rsidR="00FE7B6C" w:rsidRPr="00933F37" w:rsidRDefault="00FE7B6C" w:rsidP="00FE7B6C">
      <w:pPr>
        <w:pStyle w:val="FootnoteText"/>
        <w:snapToGrid w:val="0"/>
        <w:ind w:firstLine="420"/>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lang w:val="pt-BR"/>
        </w:rPr>
        <w:t xml:space="preserve"> Corte Constitucional. Sala Plena. Sentencia C 178 de 29 de abril de 1996. </w:t>
      </w:r>
      <w:r w:rsidRPr="00933F37">
        <w:rPr>
          <w:rFonts w:ascii="Verdana" w:hAnsi="Verdana" w:cs="Arial"/>
          <w:color w:val="000000" w:themeColor="text1"/>
          <w:sz w:val="16"/>
          <w:szCs w:val="16"/>
        </w:rPr>
        <w:t xml:space="preserve">Magistrado Ponente: Antonio Barrera Carbonell. Expediente No. D-974. </w:t>
      </w:r>
    </w:p>
  </w:footnote>
  <w:footnote w:id="27">
    <w:p w14:paraId="3DA9529E"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28">
    <w:p w14:paraId="23D3421B" w14:textId="77777777" w:rsidR="00FE7B6C" w:rsidRPr="00933F37" w:rsidRDefault="00FE7B6C" w:rsidP="00FE7B6C">
      <w:pPr>
        <w:pStyle w:val="FootnoteText"/>
        <w:ind w:firstLine="708"/>
        <w:jc w:val="both"/>
        <w:rPr>
          <w:rFonts w:ascii="Verdana" w:hAnsi="Verdana"/>
          <w:color w:val="000000" w:themeColor="text1"/>
          <w:sz w:val="16"/>
          <w:szCs w:val="16"/>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En esta medida, la limitación de la capacidad de ejercicio de los menores de edad tiene su fundamento en el artículo 1504 del Código Civil, el cual –después de la modificación introducida por el artículo 57 de la Ley 1996 de 2019– dispone que “Son absolutamente incapaces los impúberes. Sus actos no producen ni aún obligaciones naturales, y no admiten caución. Son también incapaces los menores púberes. Pero la incapacidad de estas personas no es absoluta y sus actos pueden tener valor en ciertas circunstancias y bajo ciertos respectos determinados por las leyes. Además de estas incapacidades hay otras particulares que consisten en la prohibición que la ley ha impuesto a ciertas personas para ejecutar ciertos actos”. </w:t>
      </w:r>
    </w:p>
  </w:footnote>
  <w:footnote w:id="29">
    <w:p w14:paraId="7A9BBCF4" w14:textId="77777777" w:rsidR="00FE7B6C" w:rsidRPr="00933F37" w:rsidRDefault="00FE7B6C" w:rsidP="00FE7B6C">
      <w:pPr>
        <w:pStyle w:val="FootnoteText"/>
        <w:ind w:firstLine="708"/>
        <w:jc w:val="both"/>
        <w:rPr>
          <w:rFonts w:ascii="Verdana" w:hAnsi="Verdana"/>
          <w:color w:val="000000" w:themeColor="text1"/>
          <w:sz w:val="16"/>
          <w:szCs w:val="16"/>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s="Arial"/>
          <w:color w:val="000000" w:themeColor="text1"/>
          <w:sz w:val="16"/>
          <w:szCs w:val="16"/>
        </w:rPr>
        <w:t>CONSEJO DE ESTADO. Sección Tercera. Sentencia del 26 de enero de 2011. Rad. 36.408. C.P. Jaime Orlando Santofimio Gamboa.</w:t>
      </w:r>
      <w:r w:rsidRPr="00933F37">
        <w:rPr>
          <w:rFonts w:ascii="Verdana" w:hAnsi="Verdana"/>
          <w:color w:val="000000" w:themeColor="text1"/>
          <w:sz w:val="16"/>
          <w:szCs w:val="16"/>
        </w:rPr>
        <w:t xml:space="preserve">  </w:t>
      </w:r>
    </w:p>
  </w:footnote>
  <w:footnote w:id="30">
    <w:p w14:paraId="43ACD0DB"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olor w:val="000000" w:themeColor="text1"/>
          <w:sz w:val="16"/>
          <w:szCs w:val="16"/>
        </w:rPr>
        <w:footnoteRef/>
      </w:r>
      <w:r w:rsidRPr="00933F37">
        <w:rPr>
          <w:rFonts w:ascii="Verdana" w:hAnsi="Verdana"/>
          <w:color w:val="000000" w:themeColor="text1"/>
          <w:sz w:val="16"/>
          <w:szCs w:val="16"/>
        </w:rPr>
        <w:t xml:space="preserve"> </w:t>
      </w:r>
      <w:r w:rsidRPr="00933F37">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57D530E8"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28C21BD5"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39B29545"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0" w:name="_Hlk35615848"/>
      <w:r w:rsidRPr="00933F37">
        <w:rPr>
          <w:rFonts w:ascii="Verdana" w:hAnsi="Verdana" w:cs="Arial"/>
          <w:color w:val="000000" w:themeColor="text1"/>
          <w:sz w:val="16"/>
          <w:szCs w:val="16"/>
        </w:rPr>
        <w:t>ALESSANDRI BESA, Arturo. La nulidad y la rescisión en el derecho civil chileno. Tomo I. Santiago de Chile: Ediar Editores LTDA, 1949. p. 471</w:t>
      </w:r>
      <w:bookmarkEnd w:id="0"/>
      <w:r w:rsidRPr="00933F37">
        <w:rPr>
          <w:rFonts w:ascii="Verdana" w:hAnsi="Verdana" w:cs="Arial"/>
          <w:color w:val="000000" w:themeColor="text1"/>
          <w:sz w:val="16"/>
          <w:szCs w:val="16"/>
        </w:rPr>
        <w:t xml:space="preserve">). </w:t>
      </w:r>
    </w:p>
  </w:footnote>
  <w:footnote w:id="31">
    <w:p w14:paraId="13153835"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Al respecto, “Se ha considerado […] que, respecto de la colectividad, la personificación no es un hecho natural, porque la colectividad no puede existir como persona </w:t>
      </w:r>
      <w:r w:rsidRPr="00933F37">
        <w:rPr>
          <w:rFonts w:ascii="Verdana" w:hAnsi="Verdana" w:cs="Arial"/>
          <w:i/>
          <w:iCs/>
          <w:color w:val="000000" w:themeColor="text1"/>
          <w:sz w:val="16"/>
          <w:szCs w:val="16"/>
        </w:rPr>
        <w:t>jure propio</w:t>
      </w:r>
      <w:r w:rsidRPr="00933F37">
        <w:rPr>
          <w:rFonts w:ascii="Verdana" w:hAnsi="Verdana" w:cs="Arial"/>
          <w:color w:val="000000" w:themeColor="text1"/>
          <w:sz w:val="16"/>
          <w:szCs w:val="16"/>
        </w:rPr>
        <w:t xml:space="preserve">; se ha querido, por tanto, investigar cómo puede ser sujeto de derechos un ente que no tiene existencia real y electiva, y se ha pensado que, además de los entes reales y efectivos, que son personas </w:t>
      </w:r>
      <w:r w:rsidRPr="00933F37">
        <w:rPr>
          <w:rFonts w:ascii="Verdana" w:hAnsi="Verdana" w:cs="Arial"/>
          <w:i/>
          <w:iCs/>
          <w:color w:val="000000" w:themeColor="text1"/>
          <w:sz w:val="16"/>
          <w:szCs w:val="16"/>
        </w:rPr>
        <w:t>jure propio</w:t>
      </w:r>
      <w:r w:rsidRPr="00933F37">
        <w:rPr>
          <w:rFonts w:ascii="Verdana" w:hAnsi="Verdana" w:cs="Arial"/>
          <w:color w:val="000000" w:themeColor="text1"/>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32">
    <w:p w14:paraId="301A0F50"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72CA4388"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Fonts w:ascii="Verdana" w:hAnsi="Verdana" w:cs="Arial"/>
          <w:color w:val="000000" w:themeColor="text1"/>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33">
    <w:p w14:paraId="548D9F95" w14:textId="77777777" w:rsidR="00FE7B6C" w:rsidRPr="00933F37" w:rsidRDefault="00FE7B6C" w:rsidP="00FE7B6C">
      <w:pPr>
        <w:pStyle w:val="FootnoteText"/>
        <w:ind w:firstLine="708"/>
        <w:jc w:val="both"/>
        <w:rPr>
          <w:rFonts w:ascii="Verdana" w:hAnsi="Verdana" w:cs="Arial"/>
          <w:color w:val="000000" w:themeColor="text1"/>
          <w:sz w:val="16"/>
          <w:szCs w:val="16"/>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CLARO SOLAR, Luis. Explicaciones de derecho civil chileno y comparado. Volumen II. Tomo V. Santiago: Editorial Jurídica de Chile, 2013. p. 353.</w:t>
      </w:r>
    </w:p>
  </w:footnote>
  <w:footnote w:id="34">
    <w:p w14:paraId="582FF59D"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Agencia Nacional de Contratación Pública – Colombia Compra Eficiente. Guía de Asuntos Corporativos en los Procesos de Contratación. Disponible en: https://www.colombiacompra.gov.co/wp-content/uploads/2024/08/cce_guia_asuntos_corporativos.pdf. En concordancia, el Manual para determinar y verificar los requisitos habilitantes señala que la capacidad jurídica de las personas jurídicas se acredita “a través del certificado de existencia y representación legal” y, si es necesario, con los estatutos sociales y eventualmente con poderes (p. 37).</w:t>
      </w:r>
    </w:p>
  </w:footnote>
  <w:footnote w:id="35">
    <w:p w14:paraId="42EE63BF"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A. Sentencia del 6 de diciembre de 2024. Rad. 25000-23-36-000-2014-00859-01 (60.644). C.P. María Adriana Marín. En el mismo sentido, la sentencia del 29 de julio de 2015, Exp. 40.660, C.P. Jaime Orlando Santofimio Gamboa, incluye la autorización al representante legal por parte de la junta directiva entre los requisitos subsanables, según se reseña en Agencia Nacional de Contratación Pública – Colombia Compra Eficiente. Concepto con radicado No. 2201913000003917 del 7 de junio de 2019.</w:t>
      </w:r>
    </w:p>
  </w:footnote>
  <w:footnote w:id="36">
    <w:p w14:paraId="4E757CD0"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Superintendencia de Sociedades. Oficio 220-105455 del 3 de octubre de 2019.</w:t>
      </w:r>
    </w:p>
  </w:footnote>
  <w:footnote w:id="37">
    <w:p w14:paraId="18AB983E" w14:textId="77777777" w:rsidR="004E5456" w:rsidRPr="00BB4186" w:rsidRDefault="004E5456" w:rsidP="004E5456">
      <w:pPr>
        <w:pStyle w:val="FootnoteText"/>
        <w:ind w:firstLine="708"/>
        <w:jc w:val="both"/>
        <w:rPr>
          <w:rFonts w:ascii="Verdana" w:hAnsi="Verdana" w:cs="Arial"/>
          <w:color w:val="000000" w:themeColor="text1"/>
          <w:sz w:val="16"/>
          <w:szCs w:val="16"/>
          <w:lang w:val="es-ES"/>
        </w:rPr>
      </w:pPr>
      <w:r w:rsidRPr="00BB4186">
        <w:rPr>
          <w:rStyle w:val="FootnoteReference"/>
          <w:rFonts w:ascii="Verdana" w:hAnsi="Verdana" w:cs="Arial"/>
          <w:color w:val="000000" w:themeColor="text1"/>
          <w:sz w:val="16"/>
          <w:szCs w:val="16"/>
        </w:rPr>
        <w:footnoteRef/>
      </w:r>
      <w:r w:rsidRPr="00BB4186">
        <w:rPr>
          <w:rFonts w:ascii="Verdana" w:hAnsi="Verdana" w:cs="Arial"/>
          <w:color w:val="000000" w:themeColor="text1"/>
          <w:sz w:val="16"/>
          <w:szCs w:val="16"/>
        </w:rPr>
        <w:t xml:space="preserve"> </w:t>
      </w:r>
      <w:r w:rsidRPr="00E374A0">
        <w:rPr>
          <w:rFonts w:ascii="Verdana" w:hAnsi="Verdana" w:cs="Arial"/>
          <w:color w:val="000000" w:themeColor="text1"/>
          <w:sz w:val="16"/>
          <w:szCs w:val="16"/>
        </w:rPr>
        <w:t>Sobre el carácter de pleno derecho de la ineficacia societaria, artículo 897 del Código de Comercio. En el mismo sentido, Superintendencia de Sociedades. Oficio 220-047535 de 2019.</w:t>
      </w:r>
    </w:p>
  </w:footnote>
  <w:footnote w:id="38">
    <w:p w14:paraId="0C421D05"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Ver: Agencia Nacional de Contratación Pública – Colombia Compra Eficiente. Conceptos C-1168 del 29 de septiembre de 2025, C-145 del 16 de julio de 2024, C-715 del 22 de noviembre de 2024 y C-840 del 11 de diciembre de 2024.</w:t>
      </w:r>
    </w:p>
  </w:footnote>
  <w:footnote w:id="39">
    <w:p w14:paraId="5F5FFA0B"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A. Sentencia del 1 de octubre de 2014. Rad. 25000-23-26-000-2005-00214-01 (34.778). C.P. (E) Hernán Andrade Rincón. </w:t>
      </w:r>
      <w:r w:rsidRPr="00933F37">
        <w:rPr>
          <w:rFonts w:ascii="Verdana" w:hAnsi="Verdana" w:cs="Arial"/>
          <w:color w:val="000000" w:themeColor="text1"/>
          <w:sz w:val="16"/>
          <w:szCs w:val="16"/>
        </w:rPr>
        <w:t>Citando: C</w:t>
      </w:r>
      <w:proofErr w:type="spellStart"/>
      <w:r w:rsidRPr="00933F37">
        <w:rPr>
          <w:rFonts w:ascii="Verdana" w:hAnsi="Verdana" w:cs="Arial"/>
          <w:color w:val="000000" w:themeColor="text1"/>
          <w:sz w:val="16"/>
          <w:szCs w:val="16"/>
          <w:lang w:val="es-CO"/>
        </w:rPr>
        <w:t>onsejo</w:t>
      </w:r>
      <w:proofErr w:type="spellEnd"/>
      <w:r w:rsidRPr="00933F37">
        <w:rPr>
          <w:rFonts w:ascii="Verdana" w:hAnsi="Verdana" w:cs="Arial"/>
          <w:color w:val="000000" w:themeColor="text1"/>
          <w:sz w:val="16"/>
          <w:szCs w:val="16"/>
          <w:lang w:val="es-CO"/>
        </w:rPr>
        <w:t xml:space="preserve"> de Estado. Sala de lo Contencioso Administrativo. Sección Tercera, Subsección B, 3 de mayo de 2013, radicación número: 25000-23-26- 000-1998-01825-01 (23734). Consejero Ponente (E): Danilo Rojas </w:t>
      </w:r>
      <w:proofErr w:type="spellStart"/>
      <w:r w:rsidRPr="00933F37">
        <w:rPr>
          <w:rFonts w:ascii="Verdana" w:hAnsi="Verdana" w:cs="Arial"/>
          <w:color w:val="000000" w:themeColor="text1"/>
          <w:sz w:val="16"/>
          <w:szCs w:val="16"/>
          <w:lang w:val="es-CO"/>
        </w:rPr>
        <w:t>Betancourth</w:t>
      </w:r>
      <w:proofErr w:type="spellEnd"/>
      <w:r w:rsidRPr="00933F37">
        <w:rPr>
          <w:rFonts w:ascii="Verdana" w:hAnsi="Verdana" w:cs="Arial"/>
          <w:color w:val="000000" w:themeColor="text1"/>
          <w:sz w:val="16"/>
          <w:szCs w:val="16"/>
          <w:lang w:val="es-CO"/>
        </w:rPr>
        <w:t>,</w:t>
      </w:r>
    </w:p>
  </w:footnote>
  <w:footnote w:id="40">
    <w:p w14:paraId="00085ECD"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B. Sentencia del 31 de agosto de 2017. Rad. 25000-23-26-000-1999-00744-01 (25.740). C.P. Ramiro Pazos Guerrero.</w:t>
      </w:r>
    </w:p>
  </w:footnote>
  <w:footnote w:id="41">
    <w:p w14:paraId="5C299A0A" w14:textId="77777777" w:rsidR="00FE7B6C" w:rsidRPr="00933F37" w:rsidRDefault="00FE7B6C" w:rsidP="00FE7B6C">
      <w:pPr>
        <w:pStyle w:val="FootnoteText"/>
        <w:ind w:firstLine="708"/>
        <w:jc w:val="both"/>
        <w:rPr>
          <w:rFonts w:ascii="Verdana" w:hAnsi="Verdana" w:cs="Arial"/>
          <w:color w:val="000000" w:themeColor="text1"/>
          <w:sz w:val="16"/>
          <w:szCs w:val="16"/>
          <w:lang w:val="es-ES"/>
        </w:rPr>
      </w:pPr>
      <w:r w:rsidRPr="00933F37">
        <w:rPr>
          <w:rStyle w:val="FootnoteReference"/>
          <w:rFonts w:ascii="Verdana" w:hAnsi="Verdana" w:cs="Arial"/>
          <w:color w:val="000000" w:themeColor="text1"/>
          <w:sz w:val="16"/>
          <w:szCs w:val="16"/>
        </w:rPr>
        <w:footnoteRef/>
      </w:r>
      <w:r w:rsidRPr="00933F37">
        <w:rPr>
          <w:rFonts w:ascii="Verdana" w:hAnsi="Verdana" w:cs="Arial"/>
          <w:color w:val="000000" w:themeColor="text1"/>
          <w:sz w:val="16"/>
          <w:szCs w:val="16"/>
        </w:rPr>
        <w:t xml:space="preserve"> Consejo de Estado. Sección Tercera. Subsección A. Sentencia del 6 de diciembre de 2024. Rad. 25000-23-36-000-2014-00859-01 (60.644). C.P. María Adriana Marín. Citando: </w:t>
      </w:r>
      <w:r w:rsidRPr="00933F37">
        <w:rPr>
          <w:rFonts w:ascii="Verdana" w:hAnsi="Verdana" w:cs="Arial"/>
          <w:color w:val="000000" w:themeColor="text1"/>
          <w:sz w:val="16"/>
          <w:szCs w:val="16"/>
          <w:lang w:val="es-CO"/>
        </w:rPr>
        <w:t>Consejo de Estado, Sección Tercera, sentencia 3 de mayo de 2013, Rad. 23734 (fundamento jurídico 7), en Antología Jurisprudencias y Conceptos, Consejo de Estado 1817-2017 Sección Tercera Tomo A, Bogotá, Imprenta Nacional, 2018, pp. 236-237, disponible en https://cutt.ly/0Q9KFJH.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5.35pt;height:15.3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1D6A81"/>
    <w:multiLevelType w:val="multilevel"/>
    <w:tmpl w:val="5EDA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1479691517">
    <w:abstractNumId w:val="10"/>
  </w:num>
  <w:num w:numId="17" w16cid:durableId="153255849">
    <w:abstractNumId w:val="11"/>
  </w:num>
  <w:num w:numId="18" w16cid:durableId="410347328">
    <w:abstractNumId w:val="2"/>
  </w:num>
  <w:num w:numId="19"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D68"/>
    <w:rsid w:val="00046945"/>
    <w:rsid w:val="00061603"/>
    <w:rsid w:val="00061B2A"/>
    <w:rsid w:val="00082362"/>
    <w:rsid w:val="000A683E"/>
    <w:rsid w:val="000B19B9"/>
    <w:rsid w:val="000B59EF"/>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4F44"/>
    <w:rsid w:val="002C7A84"/>
    <w:rsid w:val="002D3374"/>
    <w:rsid w:val="002E2BF8"/>
    <w:rsid w:val="002E4FD9"/>
    <w:rsid w:val="0030657A"/>
    <w:rsid w:val="00322A85"/>
    <w:rsid w:val="00324168"/>
    <w:rsid w:val="00330834"/>
    <w:rsid w:val="00336EC5"/>
    <w:rsid w:val="003448F4"/>
    <w:rsid w:val="00374F5E"/>
    <w:rsid w:val="00377E3E"/>
    <w:rsid w:val="00396EDF"/>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5456"/>
    <w:rsid w:val="004F21C4"/>
    <w:rsid w:val="004F685F"/>
    <w:rsid w:val="0052693A"/>
    <w:rsid w:val="00536370"/>
    <w:rsid w:val="005566E8"/>
    <w:rsid w:val="00574867"/>
    <w:rsid w:val="00591460"/>
    <w:rsid w:val="005930C8"/>
    <w:rsid w:val="005A65E0"/>
    <w:rsid w:val="005C3777"/>
    <w:rsid w:val="005C5CDC"/>
    <w:rsid w:val="005D2FF5"/>
    <w:rsid w:val="005D476C"/>
    <w:rsid w:val="006200BF"/>
    <w:rsid w:val="006219F8"/>
    <w:rsid w:val="006302F7"/>
    <w:rsid w:val="006433A5"/>
    <w:rsid w:val="00646B9F"/>
    <w:rsid w:val="00665D70"/>
    <w:rsid w:val="006900D9"/>
    <w:rsid w:val="00706C16"/>
    <w:rsid w:val="007111A3"/>
    <w:rsid w:val="007340C3"/>
    <w:rsid w:val="007342BD"/>
    <w:rsid w:val="0074443A"/>
    <w:rsid w:val="0075235A"/>
    <w:rsid w:val="00756841"/>
    <w:rsid w:val="007649AB"/>
    <w:rsid w:val="00771D0C"/>
    <w:rsid w:val="007833AC"/>
    <w:rsid w:val="007B268C"/>
    <w:rsid w:val="007B7171"/>
    <w:rsid w:val="007C0C0F"/>
    <w:rsid w:val="007C3DC2"/>
    <w:rsid w:val="007E5497"/>
    <w:rsid w:val="007F6659"/>
    <w:rsid w:val="008027C8"/>
    <w:rsid w:val="00806F5F"/>
    <w:rsid w:val="00820278"/>
    <w:rsid w:val="008258C9"/>
    <w:rsid w:val="00844AE9"/>
    <w:rsid w:val="00867F95"/>
    <w:rsid w:val="008843B6"/>
    <w:rsid w:val="00891928"/>
    <w:rsid w:val="008A446D"/>
    <w:rsid w:val="008B25F1"/>
    <w:rsid w:val="008B4667"/>
    <w:rsid w:val="008D180B"/>
    <w:rsid w:val="008F0EA7"/>
    <w:rsid w:val="00923EEF"/>
    <w:rsid w:val="00933F37"/>
    <w:rsid w:val="009419F9"/>
    <w:rsid w:val="0095685E"/>
    <w:rsid w:val="00961B09"/>
    <w:rsid w:val="00965334"/>
    <w:rsid w:val="0097093E"/>
    <w:rsid w:val="00976EA1"/>
    <w:rsid w:val="009A0DFA"/>
    <w:rsid w:val="009A1C6F"/>
    <w:rsid w:val="009A3174"/>
    <w:rsid w:val="009B2D26"/>
    <w:rsid w:val="009B416F"/>
    <w:rsid w:val="009C71FA"/>
    <w:rsid w:val="009C72E7"/>
    <w:rsid w:val="009C7F7E"/>
    <w:rsid w:val="009D3058"/>
    <w:rsid w:val="009E3C9F"/>
    <w:rsid w:val="009F3A13"/>
    <w:rsid w:val="00A122D3"/>
    <w:rsid w:val="00A14468"/>
    <w:rsid w:val="00A17F13"/>
    <w:rsid w:val="00A20739"/>
    <w:rsid w:val="00A23AF9"/>
    <w:rsid w:val="00A33C78"/>
    <w:rsid w:val="00AA4078"/>
    <w:rsid w:val="00AA6FA6"/>
    <w:rsid w:val="00AB0ADB"/>
    <w:rsid w:val="00B00C0E"/>
    <w:rsid w:val="00B01B1A"/>
    <w:rsid w:val="00B0381D"/>
    <w:rsid w:val="00B0591E"/>
    <w:rsid w:val="00B44A47"/>
    <w:rsid w:val="00B61779"/>
    <w:rsid w:val="00B72CD3"/>
    <w:rsid w:val="00B72FFF"/>
    <w:rsid w:val="00BB4186"/>
    <w:rsid w:val="00BC3D36"/>
    <w:rsid w:val="00BD54A6"/>
    <w:rsid w:val="00BD7F72"/>
    <w:rsid w:val="00BF7425"/>
    <w:rsid w:val="00C04FB3"/>
    <w:rsid w:val="00C11D8B"/>
    <w:rsid w:val="00C15139"/>
    <w:rsid w:val="00C232AD"/>
    <w:rsid w:val="00C330EB"/>
    <w:rsid w:val="00C50D69"/>
    <w:rsid w:val="00C5365C"/>
    <w:rsid w:val="00C754BE"/>
    <w:rsid w:val="00C76B1C"/>
    <w:rsid w:val="00C925AC"/>
    <w:rsid w:val="00CB6357"/>
    <w:rsid w:val="00CC1B26"/>
    <w:rsid w:val="00CC6477"/>
    <w:rsid w:val="00CE6B90"/>
    <w:rsid w:val="00D30026"/>
    <w:rsid w:val="00D361FD"/>
    <w:rsid w:val="00D423A2"/>
    <w:rsid w:val="00D44E26"/>
    <w:rsid w:val="00D520D8"/>
    <w:rsid w:val="00D63AC2"/>
    <w:rsid w:val="00D7383B"/>
    <w:rsid w:val="00D7788A"/>
    <w:rsid w:val="00D87829"/>
    <w:rsid w:val="00DA231B"/>
    <w:rsid w:val="00DC39FC"/>
    <w:rsid w:val="00DC6922"/>
    <w:rsid w:val="00DF5254"/>
    <w:rsid w:val="00E02524"/>
    <w:rsid w:val="00E16408"/>
    <w:rsid w:val="00E20894"/>
    <w:rsid w:val="00E245AB"/>
    <w:rsid w:val="00E2764C"/>
    <w:rsid w:val="00E27F2E"/>
    <w:rsid w:val="00E374A0"/>
    <w:rsid w:val="00E50AFE"/>
    <w:rsid w:val="00E75C92"/>
    <w:rsid w:val="00E771DC"/>
    <w:rsid w:val="00E8772A"/>
    <w:rsid w:val="00E87A8A"/>
    <w:rsid w:val="00E90F6B"/>
    <w:rsid w:val="00E92C27"/>
    <w:rsid w:val="00EA0E3D"/>
    <w:rsid w:val="00EC38A7"/>
    <w:rsid w:val="00ED3D90"/>
    <w:rsid w:val="00EE1AA8"/>
    <w:rsid w:val="00F23FEA"/>
    <w:rsid w:val="00F31EDC"/>
    <w:rsid w:val="00F33E60"/>
    <w:rsid w:val="00F41BF3"/>
    <w:rsid w:val="00F462B3"/>
    <w:rsid w:val="00F5664F"/>
    <w:rsid w:val="00F66610"/>
    <w:rsid w:val="00F666C4"/>
    <w:rsid w:val="00F76AFC"/>
    <w:rsid w:val="00FA47C0"/>
    <w:rsid w:val="00FB5DD1"/>
    <w:rsid w:val="00FC2B5D"/>
    <w:rsid w:val="00FE7B6C"/>
    <w:rsid w:val="00FF1449"/>
    <w:rsid w:val="00FF7963"/>
    <w:rsid w:val="06F3541F"/>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55F2EDD"/>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FE7B6C"/>
    <w:pPr>
      <w:spacing w:after="0"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FE7B6C"/>
    <w:rPr>
      <w:rFonts w:ascii="Geomanist Light" w:hAnsi="Geomanist Light"/>
      <w:lang w:val="es-ES"/>
    </w:rPr>
  </w:style>
  <w:style w:type="character" w:customStyle="1" w:styleId="NormalWebChar">
    <w:name w:val="Normal (Web) Char"/>
    <w:link w:val="NormalWeb"/>
    <w:uiPriority w:val="99"/>
    <w:locked/>
    <w:rsid w:val="00FE7B6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269148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6582637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uradcortes1@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habilitantes_v3_29-09-2023.pdf" TargetMode="External"/><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25D7F8-215D-314C-A079-BD5BFDA0C4C9}">
  <ds:schemaRefs>
    <ds:schemaRef ds:uri="http://schemas.openxmlformats.org/officeDocument/2006/bibliography"/>
  </ds:schemaRefs>
</ds:datastoreItem>
</file>

<file path=customXml/itemProps2.xml><?xml version="1.0" encoding="utf-8"?>
<ds:datastoreItem xmlns:ds="http://schemas.openxmlformats.org/officeDocument/2006/customXml" ds:itemID="{585A9F4B-AE8B-4F66-8C47-3BEF6DD90AC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40</Pages>
  <Words>13542</Words>
  <Characters>77192</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90553</CharactersWithSpaces>
  <SharedDoc>false</SharedDoc>
  <HLinks>
    <vt:vector size="48"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3866704</vt:i4>
      </vt:variant>
      <vt:variant>
        <vt:i4>0</vt:i4>
      </vt:variant>
      <vt:variant>
        <vt:i4>0</vt:i4>
      </vt:variant>
      <vt:variant>
        <vt:i4>5</vt:i4>
      </vt:variant>
      <vt:variant>
        <vt:lpwstr>mailto:lauradcortes1@gmail.com</vt:lpwstr>
      </vt:variant>
      <vt:variant>
        <vt:lpwstr/>
      </vt:variant>
      <vt:variant>
        <vt:i4>655414</vt:i4>
      </vt:variant>
      <vt:variant>
        <vt:i4>3</vt:i4>
      </vt:variant>
      <vt:variant>
        <vt:i4>0</vt:i4>
      </vt:variant>
      <vt:variant>
        <vt:i4>5</vt:i4>
      </vt:variant>
      <vt:variant>
        <vt:lpwstr>https://www.colombiacompra.gov.co/wp-content/uploads/2024/08/cce-eicp-ma-04._manual_requisitos_habilitantes_v3_29-09-2023.pdf</vt:lpwstr>
      </vt:variant>
      <vt:variant>
        <vt:lpwstr/>
      </vt:variant>
      <vt:variant>
        <vt:i4>2555924</vt:i4>
      </vt:variant>
      <vt:variant>
        <vt:i4>0</vt:i4>
      </vt:variant>
      <vt:variant>
        <vt:i4>0</vt:i4>
      </vt:variant>
      <vt:variant>
        <vt:i4>5</vt:i4>
      </vt:variant>
      <vt:variant>
        <vt:lpwstr>https://www.funcionpublica.gov.co/eva/gestornormativo/norma.php?i=25678</vt:lpwstr>
      </vt:variant>
      <vt:variant>
        <vt:lpwstr>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3</cp:revision>
  <cp:lastPrinted>2023-01-10T21:18:00Z</cp:lastPrinted>
  <dcterms:created xsi:type="dcterms:W3CDTF">2026-10-30T22:32:00Z</dcterms:created>
  <dcterms:modified xsi:type="dcterms:W3CDTF">2026-10-30T23:09:00Z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